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8350" w14:textId="77777777" w:rsidR="00276439" w:rsidRDefault="00E24B35">
      <w:r>
        <w:t>Homelessness Prevention</w:t>
      </w:r>
    </w:p>
    <w:p w14:paraId="26125B9F" w14:textId="77777777" w:rsidR="00E24B35" w:rsidRDefault="00E24B35">
      <w:r>
        <w:t>Policy and Procedure</w:t>
      </w:r>
    </w:p>
    <w:p w14:paraId="2951A826" w14:textId="77777777" w:rsidR="00E24B35" w:rsidRDefault="00E24B35"/>
    <w:p w14:paraId="3CAC74EC" w14:textId="77777777" w:rsidR="00E24B35" w:rsidRPr="00690251" w:rsidRDefault="00E24B35">
      <w:pPr>
        <w:rPr>
          <w:b/>
          <w:u w:val="single"/>
        </w:rPr>
      </w:pPr>
      <w:r w:rsidRPr="00690251">
        <w:rPr>
          <w:b/>
          <w:u w:val="single"/>
        </w:rPr>
        <w:t>Policy:</w:t>
      </w:r>
    </w:p>
    <w:p w14:paraId="3F0E67A3" w14:textId="77777777" w:rsidR="00D106F3" w:rsidRDefault="004745F4">
      <w:r>
        <w:t>Due to the high costs associated with responding to homelessness and encampment resolution, trauma experienced during homeless episodes, and the increasing difficulty for homeless persons to obtain housing, the Sutter Yuba Homeless Consortium</w:t>
      </w:r>
      <w:r w:rsidR="00A123BD">
        <w:t xml:space="preserve"> (SYHC)</w:t>
      </w:r>
      <w:r>
        <w:t xml:space="preserve"> will provide</w:t>
      </w:r>
      <w:r w:rsidR="00380A95">
        <w:t xml:space="preserve"> support for </w:t>
      </w:r>
      <w:r>
        <w:t>individuals and families</w:t>
      </w:r>
      <w:r w:rsidR="00380A95">
        <w:t xml:space="preserve"> </w:t>
      </w:r>
      <w:r w:rsidR="00A123BD">
        <w:t>at risk of losing their</w:t>
      </w:r>
      <w:r>
        <w:t xml:space="preserve"> housing</w:t>
      </w:r>
      <w:r w:rsidR="00380A95">
        <w:t xml:space="preserve">.  </w:t>
      </w:r>
      <w:r w:rsidR="00A123BD">
        <w:t>This service will be streamlined through the current Coordinated Entry System (CES).  Those who are served through CES</w:t>
      </w:r>
      <w:r w:rsidR="00D106F3">
        <w:t xml:space="preserve"> </w:t>
      </w:r>
      <w:r w:rsidR="00A123BD">
        <w:t>will</w:t>
      </w:r>
      <w:r w:rsidR="00D106F3">
        <w:t xml:space="preserve"> fall into one of three categories: </w:t>
      </w:r>
      <w:r w:rsidR="00D106F3" w:rsidRPr="00A123BD">
        <w:rPr>
          <w:i/>
          <w:u w:val="single"/>
        </w:rPr>
        <w:t>homeless</w:t>
      </w:r>
      <w:r w:rsidR="00D106F3">
        <w:t xml:space="preserve">, at </w:t>
      </w:r>
      <w:r w:rsidR="00D106F3" w:rsidRPr="00A123BD">
        <w:rPr>
          <w:i/>
          <w:u w:val="single"/>
        </w:rPr>
        <w:t>imminent risk of homelessness</w:t>
      </w:r>
      <w:r w:rsidR="00D106F3">
        <w:t xml:space="preserve">, or </w:t>
      </w:r>
      <w:r w:rsidR="00D106F3" w:rsidRPr="00A123BD">
        <w:rPr>
          <w:i/>
          <w:u w:val="single"/>
        </w:rPr>
        <w:t>at-risk of homelessness</w:t>
      </w:r>
      <w:r w:rsidR="00D106F3">
        <w:t>.</w:t>
      </w:r>
      <w:r w:rsidR="00380A95">
        <w:t xml:space="preserve"> </w:t>
      </w:r>
      <w:r w:rsidR="00D106F3">
        <w:t xml:space="preserve"> </w:t>
      </w:r>
      <w:r w:rsidR="00A123BD">
        <w:t>(</w:t>
      </w:r>
      <w:proofErr w:type="gramStart"/>
      <w:r w:rsidR="00A123BD">
        <w:t>see</w:t>
      </w:r>
      <w:proofErr w:type="gramEnd"/>
      <w:r w:rsidR="00A123BD">
        <w:t xml:space="preserve"> definitions below)</w:t>
      </w:r>
    </w:p>
    <w:p w14:paraId="26AAB341" w14:textId="77777777" w:rsidR="003931D4" w:rsidRDefault="00A123BD" w:rsidP="006C7203">
      <w:r>
        <w:t>The</w:t>
      </w:r>
      <w:r w:rsidR="003931D4">
        <w:t xml:space="preserve"> local </w:t>
      </w:r>
      <w:r w:rsidR="0006277C">
        <w:t xml:space="preserve">data shows that individuals and families are at greater risk of </w:t>
      </w:r>
      <w:r w:rsidR="003931D4">
        <w:t xml:space="preserve">homelessness </w:t>
      </w:r>
      <w:r w:rsidR="0006277C">
        <w:t>if they are</w:t>
      </w:r>
      <w:r w:rsidR="003931D4">
        <w:t xml:space="preserve"> at or below 50% AMI, </w:t>
      </w:r>
      <w:r w:rsidR="0006277C">
        <w:t>lack a</w:t>
      </w:r>
      <w:r w:rsidR="003931D4">
        <w:t xml:space="preserve"> lease/rental agreement, </w:t>
      </w:r>
      <w:r w:rsidR="0006277C">
        <w:t>have experienced</w:t>
      </w:r>
      <w:r w:rsidR="003931D4">
        <w:t xml:space="preserve"> homeless epi</w:t>
      </w:r>
      <w:r w:rsidR="0006277C">
        <w:t>sodes in the past, and claim to have destabilizing conditions such as mental health disorder, physical disability, chronic health conditions, or drug use disorder</w:t>
      </w:r>
      <w:r w:rsidR="003931D4">
        <w:t>.</w:t>
      </w:r>
      <w:r w:rsidR="0006277C">
        <w:t xml:space="preserve"> </w:t>
      </w:r>
      <w:r>
        <w:t>An</w:t>
      </w:r>
      <w:r w:rsidR="0006277C">
        <w:t xml:space="preserve"> assessment was created in order to prioritize these situations in addition to urgency factors including families with children, and the remaining time on a notice to vacate.</w:t>
      </w:r>
    </w:p>
    <w:p w14:paraId="7DAB92AF" w14:textId="77777777" w:rsidR="003931D4" w:rsidRDefault="006C7203" w:rsidP="006C7203">
      <w:r w:rsidRPr="006C7203">
        <w:t>Preventative service</w:t>
      </w:r>
      <w:r>
        <w:t xml:space="preserve">s and assistance are varied and, depending on the funding source, </w:t>
      </w:r>
      <w:r w:rsidRPr="006C7203">
        <w:t xml:space="preserve">can include any preventative measure that will save a tenancy, help individuals and families regain stability in their current housing, or move and achieve stability in a new housing location. This may include rental or utility arrears, late fee payments, first month’s rent and/or security deposits, landlord mediation, repairs, habitability/accessibility improvements, and housing navigation. </w:t>
      </w:r>
    </w:p>
    <w:p w14:paraId="3A274E1E" w14:textId="77777777" w:rsidR="006C7203" w:rsidRDefault="006C7203" w:rsidP="006C7203">
      <w:r w:rsidRPr="006C7203">
        <w:t xml:space="preserve">While homelessness prevention refers to a broad category of services, research shows that homelessness prevention is more effective when targeted to the people who are most likely to fall into homelessness in the absence of preventative assistance. </w:t>
      </w:r>
      <w:r w:rsidR="00A123BD">
        <w:t>T</w:t>
      </w:r>
      <w:r w:rsidR="003931D4">
        <w:t xml:space="preserve">he </w:t>
      </w:r>
      <w:r w:rsidR="00A123BD">
        <w:t>SYHC</w:t>
      </w:r>
      <w:r w:rsidR="003931D4">
        <w:t xml:space="preserve"> and partner agencies</w:t>
      </w:r>
      <w:r w:rsidRPr="006C7203">
        <w:t xml:space="preserve"> </w:t>
      </w:r>
      <w:r w:rsidR="00A123BD">
        <w:t>will target and prioritize</w:t>
      </w:r>
      <w:r w:rsidRPr="006C7203">
        <w:t xml:space="preserve"> those at greatest risk of </w:t>
      </w:r>
      <w:r w:rsidRPr="004745F4">
        <w:t>homelessness</w:t>
      </w:r>
      <w:r w:rsidR="004745F4" w:rsidRPr="004745F4">
        <w:t>.</w:t>
      </w:r>
    </w:p>
    <w:p w14:paraId="10ECA932" w14:textId="77777777" w:rsidR="008607E9" w:rsidRDefault="008607E9">
      <w:pPr>
        <w:rPr>
          <w:u w:val="single"/>
        </w:rPr>
      </w:pPr>
    </w:p>
    <w:p w14:paraId="6223A3E6" w14:textId="77777777" w:rsidR="006C7203" w:rsidRPr="008607E9" w:rsidRDefault="008607E9">
      <w:pPr>
        <w:rPr>
          <w:u w:val="single"/>
        </w:rPr>
      </w:pPr>
      <w:r w:rsidRPr="008607E9">
        <w:rPr>
          <w:u w:val="single"/>
        </w:rPr>
        <w:t>Modes of Assistance</w:t>
      </w:r>
    </w:p>
    <w:p w14:paraId="0C53AC5D" w14:textId="77777777" w:rsidR="00E24B35" w:rsidRDefault="006C7203">
      <w:r>
        <w:t xml:space="preserve">Two </w:t>
      </w:r>
      <w:r w:rsidR="00380A95">
        <w:t>types of prevention activities can occur in order to assist at-risk households to retain their housing: eviction prevention and homelessness prevention.</w:t>
      </w:r>
    </w:p>
    <w:p w14:paraId="01081E4A" w14:textId="77777777" w:rsidR="008607E9" w:rsidRDefault="0006277C">
      <w:r w:rsidRPr="0006277C">
        <w:rPr>
          <w:u w:val="single"/>
        </w:rPr>
        <w:t>Eviction Prevention</w:t>
      </w:r>
      <w:r w:rsidRPr="008607E9">
        <w:t xml:space="preserve"> </w:t>
      </w:r>
      <w:r>
        <w:t xml:space="preserve">is distinct from homelessness prevention in that is it not narrowly targeted to only those households who are at-risk of homelessness due to a potential eviction. Some households in receipt of an eviction notice may not be at-risk of becoming homeless because they are able to find and secure subsequent permanent housing. </w:t>
      </w:r>
    </w:p>
    <w:p w14:paraId="2F7EC0B2" w14:textId="77777777" w:rsidR="00380A95" w:rsidRDefault="0006277C">
      <w:r w:rsidRPr="008607E9">
        <w:rPr>
          <w:u w:val="single"/>
        </w:rPr>
        <w:lastRenderedPageBreak/>
        <w:t xml:space="preserve">Homelessness </w:t>
      </w:r>
      <w:r w:rsidR="008607E9" w:rsidRPr="008607E9">
        <w:rPr>
          <w:u w:val="single"/>
        </w:rPr>
        <w:t>P</w:t>
      </w:r>
      <w:r w:rsidRPr="008607E9">
        <w:rPr>
          <w:u w:val="single"/>
        </w:rPr>
        <w:t>revention</w:t>
      </w:r>
      <w:r>
        <w:t xml:space="preserve"> efforts often include eviction prevention strategies such as short term or one-time financial assistance payments, including payment of back rent, but also offer more substantial case management or other supportive services.</w:t>
      </w:r>
    </w:p>
    <w:p w14:paraId="2CB32EE7" w14:textId="77777777" w:rsidR="008607E9" w:rsidRDefault="008607E9"/>
    <w:p w14:paraId="711B28C6" w14:textId="77777777" w:rsidR="008607E9" w:rsidRDefault="00000000">
      <w:pPr>
        <w:rPr>
          <w:u w:val="single"/>
        </w:rPr>
      </w:pPr>
      <w:hyperlink r:id="rId5" w:history="1">
        <w:r w:rsidR="008607E9" w:rsidRPr="008607E9">
          <w:rPr>
            <w:rStyle w:val="Hyperlink"/>
          </w:rPr>
          <w:t>Evidence Based Models</w:t>
        </w:r>
      </w:hyperlink>
    </w:p>
    <w:p w14:paraId="39F815C0" w14:textId="77777777" w:rsidR="00664D25" w:rsidRPr="00664D25" w:rsidRDefault="00935D54" w:rsidP="008607E9">
      <w:pPr>
        <w:pStyle w:val="ListParagraph"/>
        <w:numPr>
          <w:ilvl w:val="0"/>
          <w:numId w:val="8"/>
        </w:numPr>
        <w:rPr>
          <w:u w:val="single"/>
        </w:rPr>
      </w:pPr>
      <w:r>
        <w:rPr>
          <w:u w:val="single"/>
        </w:rPr>
        <w:t>Permanent</w:t>
      </w:r>
      <w:r w:rsidR="008607E9">
        <w:rPr>
          <w:u w:val="single"/>
        </w:rPr>
        <w:t xml:space="preserve"> Rental Housing Subsidies</w:t>
      </w:r>
      <w:r w:rsidR="008607E9">
        <w:t xml:space="preserve">: </w:t>
      </w:r>
    </w:p>
    <w:p w14:paraId="7D673280" w14:textId="77777777" w:rsidR="00664D25" w:rsidRPr="00664D25" w:rsidRDefault="008607E9" w:rsidP="00664D25">
      <w:pPr>
        <w:pStyle w:val="ListParagraph"/>
        <w:numPr>
          <w:ilvl w:val="1"/>
          <w:numId w:val="8"/>
        </w:numPr>
        <w:rPr>
          <w:u w:val="single"/>
        </w:rPr>
      </w:pPr>
      <w:r>
        <w:t xml:space="preserve">This is the single most effective and efficient </w:t>
      </w:r>
      <w:r w:rsidR="00664D25">
        <w:t>way of preventing homelessness</w:t>
      </w:r>
    </w:p>
    <w:p w14:paraId="7B094AD6" w14:textId="77777777" w:rsidR="00664D25" w:rsidRPr="00664D25" w:rsidRDefault="00664D25" w:rsidP="00664D25">
      <w:pPr>
        <w:pStyle w:val="ListParagraph"/>
        <w:numPr>
          <w:ilvl w:val="1"/>
          <w:numId w:val="8"/>
        </w:numPr>
        <w:rPr>
          <w:u w:val="single"/>
        </w:rPr>
      </w:pPr>
      <w:r>
        <w:t>Payments include a portion of the rental cost for the client, with no sunset, as long as the client remains eligible for assistance</w:t>
      </w:r>
    </w:p>
    <w:p w14:paraId="2E88FB24" w14:textId="77777777" w:rsidR="00664D25" w:rsidRPr="00664D25" w:rsidRDefault="008607E9" w:rsidP="00664D25">
      <w:pPr>
        <w:pStyle w:val="ListParagraph"/>
        <w:numPr>
          <w:ilvl w:val="1"/>
          <w:numId w:val="8"/>
        </w:numPr>
        <w:rPr>
          <w:u w:val="single"/>
        </w:rPr>
      </w:pPr>
      <w:r>
        <w:t xml:space="preserve">All clients served through </w:t>
      </w:r>
      <w:r w:rsidR="00BC5CCC">
        <w:t>SYHC</w:t>
      </w:r>
      <w:r>
        <w:t xml:space="preserve"> Rapid Rehousing Programs will be encouraged to apply for subsidies through the </w:t>
      </w:r>
      <w:r w:rsidRPr="00DA0240">
        <w:rPr>
          <w:b/>
        </w:rPr>
        <w:t>Regional Housing Authority</w:t>
      </w:r>
    </w:p>
    <w:p w14:paraId="5817503F" w14:textId="77777777" w:rsidR="008607E9" w:rsidRPr="008607E9" w:rsidRDefault="008607E9" w:rsidP="00664D25">
      <w:pPr>
        <w:pStyle w:val="ListParagraph"/>
        <w:numPr>
          <w:ilvl w:val="1"/>
          <w:numId w:val="8"/>
        </w:numPr>
        <w:rPr>
          <w:u w:val="single"/>
        </w:rPr>
      </w:pPr>
      <w:r>
        <w:t>As funding is secured in the future, it may be added to this activity in order to further</w:t>
      </w:r>
      <w:r w:rsidR="00664D25">
        <w:t xml:space="preserve"> this assistance in Yuba Sutter</w:t>
      </w:r>
    </w:p>
    <w:p w14:paraId="116E5542" w14:textId="77777777" w:rsidR="00664D25" w:rsidRPr="00664D25" w:rsidRDefault="008607E9" w:rsidP="008607E9">
      <w:pPr>
        <w:pStyle w:val="ListParagraph"/>
        <w:numPr>
          <w:ilvl w:val="0"/>
          <w:numId w:val="8"/>
        </w:numPr>
        <w:rPr>
          <w:u w:val="single"/>
        </w:rPr>
      </w:pPr>
      <w:r>
        <w:rPr>
          <w:u w:val="single"/>
        </w:rPr>
        <w:t>Eviction Prevention</w:t>
      </w:r>
      <w:r>
        <w:t xml:space="preserve">: </w:t>
      </w:r>
    </w:p>
    <w:p w14:paraId="50C98CAF" w14:textId="77777777" w:rsidR="00664D25" w:rsidRPr="00664D25" w:rsidRDefault="00664D25" w:rsidP="00664D25">
      <w:pPr>
        <w:pStyle w:val="ListParagraph"/>
        <w:numPr>
          <w:ilvl w:val="1"/>
          <w:numId w:val="8"/>
        </w:numPr>
        <w:rPr>
          <w:u w:val="single"/>
        </w:rPr>
      </w:pPr>
      <w:r>
        <w:t xml:space="preserve">A one-time intervention that results in the client being able to stay in their unit and </w:t>
      </w:r>
      <w:r w:rsidR="00BC5CCC">
        <w:t>avoid</w:t>
      </w:r>
      <w:r>
        <w:t xml:space="preserve"> an eviction  </w:t>
      </w:r>
    </w:p>
    <w:p w14:paraId="5F26E8E5" w14:textId="77777777" w:rsidR="00664D25" w:rsidRPr="00664D25" w:rsidRDefault="00664D25" w:rsidP="00664D25">
      <w:pPr>
        <w:pStyle w:val="ListParagraph"/>
        <w:numPr>
          <w:ilvl w:val="1"/>
          <w:numId w:val="8"/>
        </w:numPr>
        <w:rPr>
          <w:u w:val="single"/>
        </w:rPr>
      </w:pPr>
      <w:r>
        <w:t>Payments may include arrearages, current month’s rent, and future month’s rent</w:t>
      </w:r>
    </w:p>
    <w:p w14:paraId="72C1726E" w14:textId="77777777" w:rsidR="008607E9" w:rsidRPr="00DA0240" w:rsidRDefault="00664D25" w:rsidP="00664D25">
      <w:pPr>
        <w:pStyle w:val="ListParagraph"/>
        <w:numPr>
          <w:ilvl w:val="1"/>
          <w:numId w:val="8"/>
        </w:numPr>
        <w:rPr>
          <w:u w:val="single"/>
        </w:rPr>
      </w:pPr>
      <w:r>
        <w:t>This assistance should only be provided if the client does not meet the prioritization listed above, but presents an urgency with no other support identified</w:t>
      </w:r>
    </w:p>
    <w:p w14:paraId="024FCC9E" w14:textId="77777777" w:rsidR="00DA0240" w:rsidRPr="00DA0240" w:rsidRDefault="00DA0240" w:rsidP="00DA0240">
      <w:pPr>
        <w:pStyle w:val="ListParagraph"/>
        <w:numPr>
          <w:ilvl w:val="0"/>
          <w:numId w:val="8"/>
        </w:numPr>
        <w:rPr>
          <w:u w:val="single"/>
        </w:rPr>
      </w:pPr>
      <w:r w:rsidRPr="00DA0240">
        <w:rPr>
          <w:u w:val="single"/>
        </w:rPr>
        <w:t>Community-Based Services</w:t>
      </w:r>
    </w:p>
    <w:p w14:paraId="4A69772E" w14:textId="77777777" w:rsidR="00935D54" w:rsidRPr="00935D54" w:rsidRDefault="00935D54" w:rsidP="00DA0240">
      <w:pPr>
        <w:pStyle w:val="ListParagraph"/>
        <w:numPr>
          <w:ilvl w:val="1"/>
          <w:numId w:val="8"/>
        </w:numPr>
        <w:rPr>
          <w:u w:val="single"/>
        </w:rPr>
      </w:pPr>
      <w:r>
        <w:t xml:space="preserve">A longer-term intervention </w:t>
      </w:r>
      <w:r w:rsidR="00BC5CCC">
        <w:t xml:space="preserve">(up to </w:t>
      </w:r>
      <w:r>
        <w:t>6 months) that assists households that are prioritized through the assessment process, to stabilize their housing situation</w:t>
      </w:r>
    </w:p>
    <w:p w14:paraId="4B0DF8E1" w14:textId="77777777" w:rsidR="00DA0240" w:rsidRPr="00935D54" w:rsidRDefault="00935D54" w:rsidP="00DA0240">
      <w:pPr>
        <w:pStyle w:val="ListParagraph"/>
        <w:numPr>
          <w:ilvl w:val="1"/>
          <w:numId w:val="8"/>
        </w:numPr>
        <w:rPr>
          <w:u w:val="single"/>
        </w:rPr>
      </w:pPr>
      <w:r>
        <w:t>Direct assistance can include</w:t>
      </w:r>
      <w:r w:rsidR="00DA0240">
        <w:t xml:space="preserve"> financial assistance to cover rent or rental arrears, help completing income re</w:t>
      </w:r>
      <w:r>
        <w:t>-</w:t>
      </w:r>
      <w:r w:rsidR="00DA0240">
        <w:t>certifications, medi</w:t>
      </w:r>
      <w:r>
        <w:t xml:space="preserve">ation with landlords and others, or </w:t>
      </w:r>
      <w:r w:rsidR="00DA0240">
        <w:t>relocation assistance</w:t>
      </w:r>
      <w:r w:rsidR="00BC5CCC">
        <w:t xml:space="preserve"> (including motels or storage fees)</w:t>
      </w:r>
    </w:p>
    <w:p w14:paraId="7211A00F" w14:textId="77777777" w:rsidR="00935D54" w:rsidRPr="00935D54" w:rsidRDefault="00935D54" w:rsidP="00935D54">
      <w:pPr>
        <w:pStyle w:val="ListParagraph"/>
        <w:numPr>
          <w:ilvl w:val="1"/>
          <w:numId w:val="8"/>
        </w:numPr>
        <w:rPr>
          <w:u w:val="single"/>
        </w:rPr>
      </w:pPr>
      <w:r>
        <w:t xml:space="preserve">Due to the complexity of these cases, intensive case management services, using best practices such as trauma informed care, motivational interviewing and harm reduction, are </w:t>
      </w:r>
      <w:r w:rsidRPr="00935D54">
        <w:rPr>
          <w:i/>
          <w:u w:val="single"/>
        </w:rPr>
        <w:t>essential</w:t>
      </w:r>
      <w:r>
        <w:t xml:space="preserve"> for success</w:t>
      </w:r>
    </w:p>
    <w:p w14:paraId="293654DD" w14:textId="77777777" w:rsidR="004745F4" w:rsidRPr="004745F4" w:rsidRDefault="00935D54" w:rsidP="004745F4">
      <w:pPr>
        <w:pStyle w:val="ListParagraph"/>
        <w:numPr>
          <w:ilvl w:val="2"/>
          <w:numId w:val="8"/>
        </w:numPr>
        <w:rPr>
          <w:u w:val="single"/>
        </w:rPr>
      </w:pPr>
      <w:r>
        <w:t>Depending on the funding source, case managers may assist with</w:t>
      </w:r>
      <w:r w:rsidR="004745F4">
        <w:t>:</w:t>
      </w:r>
    </w:p>
    <w:p w14:paraId="24626E0A" w14:textId="77777777" w:rsidR="004745F4" w:rsidRPr="004745F4" w:rsidRDefault="004745F4" w:rsidP="004745F4">
      <w:pPr>
        <w:pStyle w:val="ListParagraph"/>
        <w:numPr>
          <w:ilvl w:val="3"/>
          <w:numId w:val="9"/>
        </w:numPr>
        <w:rPr>
          <w:u w:val="single"/>
        </w:rPr>
      </w:pPr>
      <w:r>
        <w:t>S</w:t>
      </w:r>
      <w:r w:rsidR="00935D54">
        <w:t>tabilizing income through workforce development, government assistance (CalWORKs/</w:t>
      </w:r>
      <w:proofErr w:type="spellStart"/>
      <w:r w:rsidR="00935D54">
        <w:t>CalFresh</w:t>
      </w:r>
      <w:proofErr w:type="spellEnd"/>
      <w:r w:rsidR="00935D54">
        <w:t>/Medi-Cal), or Soci</w:t>
      </w:r>
      <w:r>
        <w:t>al Security Disability advocacy</w:t>
      </w:r>
      <w:r w:rsidR="00935D54">
        <w:t xml:space="preserve"> </w:t>
      </w:r>
    </w:p>
    <w:p w14:paraId="6F24419C" w14:textId="77777777" w:rsidR="004745F4" w:rsidRPr="004745F4" w:rsidRDefault="004745F4" w:rsidP="004745F4">
      <w:pPr>
        <w:pStyle w:val="ListParagraph"/>
        <w:numPr>
          <w:ilvl w:val="3"/>
          <w:numId w:val="9"/>
        </w:numPr>
        <w:rPr>
          <w:u w:val="single"/>
        </w:rPr>
      </w:pPr>
      <w:r>
        <w:t>Obtaining substance use treatment services</w:t>
      </w:r>
    </w:p>
    <w:p w14:paraId="5CF5DE8D" w14:textId="77777777" w:rsidR="004745F4" w:rsidRPr="004745F4" w:rsidRDefault="004745F4" w:rsidP="004745F4">
      <w:pPr>
        <w:pStyle w:val="ListParagraph"/>
        <w:numPr>
          <w:ilvl w:val="3"/>
          <w:numId w:val="9"/>
        </w:numPr>
        <w:rPr>
          <w:u w:val="single"/>
        </w:rPr>
      </w:pPr>
      <w:r>
        <w:t>Obtaining behavioral or other healthcare</w:t>
      </w:r>
    </w:p>
    <w:p w14:paraId="5F67C22E" w14:textId="77777777" w:rsidR="004745F4" w:rsidRPr="004745F4" w:rsidRDefault="004745F4" w:rsidP="004745F4">
      <w:pPr>
        <w:pStyle w:val="ListParagraph"/>
        <w:numPr>
          <w:ilvl w:val="3"/>
          <w:numId w:val="9"/>
        </w:numPr>
        <w:rPr>
          <w:u w:val="single"/>
        </w:rPr>
      </w:pPr>
      <w:r>
        <w:t>Obtaining childcare or In Home Supportive Services</w:t>
      </w:r>
    </w:p>
    <w:p w14:paraId="2A913B53" w14:textId="77777777" w:rsidR="004745F4" w:rsidRPr="004745F4" w:rsidRDefault="004745F4" w:rsidP="004745F4">
      <w:pPr>
        <w:pStyle w:val="ListParagraph"/>
        <w:numPr>
          <w:ilvl w:val="3"/>
          <w:numId w:val="9"/>
        </w:numPr>
        <w:rPr>
          <w:u w:val="single"/>
        </w:rPr>
      </w:pPr>
      <w:r>
        <w:t>Improving family or social support networks</w:t>
      </w:r>
    </w:p>
    <w:p w14:paraId="209DA61D" w14:textId="77777777" w:rsidR="00935D54" w:rsidRPr="0027517B" w:rsidRDefault="004745F4" w:rsidP="004745F4">
      <w:pPr>
        <w:pStyle w:val="ListParagraph"/>
        <w:numPr>
          <w:ilvl w:val="3"/>
          <w:numId w:val="9"/>
        </w:numPr>
        <w:rPr>
          <w:u w:val="single"/>
        </w:rPr>
      </w:pPr>
      <w:r>
        <w:lastRenderedPageBreak/>
        <w:t>Other services or supports necessary for the household to stabilize</w:t>
      </w:r>
    </w:p>
    <w:p w14:paraId="5AFA5A89" w14:textId="77777777" w:rsidR="0027517B" w:rsidRPr="0027517B" w:rsidRDefault="0027517B" w:rsidP="0027517B">
      <w:pPr>
        <w:rPr>
          <w:u w:val="single"/>
        </w:rPr>
      </w:pPr>
    </w:p>
    <w:p w14:paraId="517015DB" w14:textId="77777777" w:rsidR="008607E9" w:rsidRDefault="00000000" w:rsidP="008607E9">
      <w:hyperlink r:id="rId6" w:history="1">
        <w:r w:rsidR="008607E9" w:rsidRPr="006C7203">
          <w:rPr>
            <w:rStyle w:val="Hyperlink"/>
          </w:rPr>
          <w:t>Definitions</w:t>
        </w:r>
      </w:hyperlink>
      <w:r w:rsidR="008607E9">
        <w:t xml:space="preserve">: </w:t>
      </w:r>
    </w:p>
    <w:p w14:paraId="54035577" w14:textId="77777777" w:rsidR="0027517B" w:rsidRDefault="0027517B" w:rsidP="008607E9">
      <w:r>
        <w:t>It is our policy that anyone who meets the definition of “Homeless” below will be given the Vulnerability Assessment and anyone who meets the definition of “At-Risk of Homelessness” will be given the Prevention Assessment</w:t>
      </w:r>
    </w:p>
    <w:p w14:paraId="1EF28715" w14:textId="77777777" w:rsidR="008607E9" w:rsidRPr="006C7203" w:rsidRDefault="008607E9" w:rsidP="008607E9">
      <w:pPr>
        <w:rPr>
          <w:i/>
          <w:u w:val="single"/>
        </w:rPr>
      </w:pPr>
      <w:r w:rsidRPr="006C7203">
        <w:rPr>
          <w:i/>
          <w:u w:val="single"/>
        </w:rPr>
        <w:t>Homeless</w:t>
      </w:r>
      <w:r w:rsidR="0027517B">
        <w:rPr>
          <w:i/>
          <w:u w:val="single"/>
        </w:rPr>
        <w:t xml:space="preserve"> (includes</w:t>
      </w:r>
      <w:r w:rsidRPr="006C7203">
        <w:rPr>
          <w:i/>
          <w:u w:val="single"/>
        </w:rPr>
        <w:t xml:space="preserve"> </w:t>
      </w:r>
      <w:r w:rsidR="0027517B">
        <w:rPr>
          <w:i/>
          <w:u w:val="single"/>
        </w:rPr>
        <w:t>“</w:t>
      </w:r>
      <w:r w:rsidRPr="006C7203">
        <w:rPr>
          <w:i/>
          <w:u w:val="single"/>
        </w:rPr>
        <w:t>at imminent risk</w:t>
      </w:r>
      <w:r w:rsidR="0027517B">
        <w:rPr>
          <w:i/>
          <w:u w:val="single"/>
        </w:rPr>
        <w:t>”</w:t>
      </w:r>
      <w:r w:rsidRPr="006C7203">
        <w:rPr>
          <w:i/>
          <w:u w:val="single"/>
        </w:rPr>
        <w:t xml:space="preserve">, in section 2): </w:t>
      </w:r>
    </w:p>
    <w:p w14:paraId="5934E3BB" w14:textId="77777777" w:rsidR="008607E9" w:rsidRPr="000A5B4C" w:rsidRDefault="008607E9" w:rsidP="008607E9">
      <w:pPr>
        <w:pStyle w:val="ListParagraph"/>
        <w:numPr>
          <w:ilvl w:val="0"/>
          <w:numId w:val="2"/>
        </w:numPr>
      </w:pPr>
      <w:r w:rsidRPr="000A5B4C">
        <w:t xml:space="preserve">An individual or family who lacks a fixed, regular, and adequate nighttime residence, meaning: </w:t>
      </w:r>
    </w:p>
    <w:p w14:paraId="5D115220" w14:textId="77777777" w:rsidR="008607E9" w:rsidRPr="000A5B4C" w:rsidRDefault="008607E9" w:rsidP="008607E9">
      <w:pPr>
        <w:pStyle w:val="ListParagraph"/>
        <w:numPr>
          <w:ilvl w:val="1"/>
          <w:numId w:val="2"/>
        </w:numPr>
      </w:pPr>
      <w:r w:rsidRPr="000A5B4C">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w:t>
      </w:r>
    </w:p>
    <w:p w14:paraId="7C88839E" w14:textId="77777777" w:rsidR="008607E9" w:rsidRPr="000A5B4C" w:rsidRDefault="008607E9" w:rsidP="008607E9">
      <w:pPr>
        <w:pStyle w:val="ListParagraph"/>
        <w:numPr>
          <w:ilvl w:val="1"/>
          <w:numId w:val="2"/>
        </w:numPr>
      </w:pPr>
      <w:r w:rsidRPr="000A5B4C">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or </w:t>
      </w:r>
    </w:p>
    <w:p w14:paraId="1C2E371E" w14:textId="77777777" w:rsidR="008607E9" w:rsidRPr="000A5B4C" w:rsidRDefault="008607E9" w:rsidP="008607E9">
      <w:pPr>
        <w:pStyle w:val="ListParagraph"/>
        <w:numPr>
          <w:ilvl w:val="1"/>
          <w:numId w:val="2"/>
        </w:numPr>
      </w:pPr>
      <w:r w:rsidRPr="000A5B4C">
        <w:t xml:space="preserve">An individual who is exiting an institution where he or she resided for 90 days or less and who resided in an emergency shelter or place not meant for human habitation immediately before entering that institution; </w:t>
      </w:r>
    </w:p>
    <w:p w14:paraId="340530F9" w14:textId="77777777" w:rsidR="008607E9" w:rsidRPr="000A5B4C" w:rsidRDefault="008607E9" w:rsidP="008607E9">
      <w:pPr>
        <w:pStyle w:val="ListParagraph"/>
        <w:numPr>
          <w:ilvl w:val="0"/>
          <w:numId w:val="2"/>
        </w:numPr>
      </w:pPr>
      <w:r w:rsidRPr="000A5B4C">
        <w:t xml:space="preserve">An individual or family who will imminently lose their primary nighttime residence, provided that: </w:t>
      </w:r>
    </w:p>
    <w:p w14:paraId="46348757" w14:textId="77777777" w:rsidR="008607E9" w:rsidRPr="000A5B4C" w:rsidRDefault="008607E9" w:rsidP="008607E9">
      <w:pPr>
        <w:pStyle w:val="ListParagraph"/>
        <w:numPr>
          <w:ilvl w:val="1"/>
          <w:numId w:val="2"/>
        </w:numPr>
      </w:pPr>
      <w:r w:rsidRPr="000A5B4C">
        <w:t xml:space="preserve">The primary nighttime residence will be lost within 14 days of the date of application for homeless assistance; </w:t>
      </w:r>
    </w:p>
    <w:p w14:paraId="6838E800" w14:textId="77777777" w:rsidR="008607E9" w:rsidRPr="000A5B4C" w:rsidRDefault="008607E9" w:rsidP="008607E9">
      <w:pPr>
        <w:pStyle w:val="ListParagraph"/>
        <w:numPr>
          <w:ilvl w:val="1"/>
          <w:numId w:val="2"/>
        </w:numPr>
      </w:pPr>
      <w:r w:rsidRPr="000A5B4C">
        <w:t xml:space="preserve">No subsequent residence has been identified; and </w:t>
      </w:r>
    </w:p>
    <w:p w14:paraId="6A292835" w14:textId="77777777" w:rsidR="008607E9" w:rsidRPr="000A5B4C" w:rsidRDefault="008607E9" w:rsidP="008607E9">
      <w:pPr>
        <w:pStyle w:val="ListParagraph"/>
        <w:numPr>
          <w:ilvl w:val="1"/>
          <w:numId w:val="2"/>
        </w:numPr>
      </w:pPr>
      <w:r w:rsidRPr="000A5B4C">
        <w:t xml:space="preserve">The individual or family lacks the resources or support networks, e.g., family, friends, faith-based or other social networks needed to obtain other permanent housing; </w:t>
      </w:r>
    </w:p>
    <w:p w14:paraId="47F85BC9" w14:textId="77777777" w:rsidR="008607E9" w:rsidRPr="000A5B4C" w:rsidRDefault="008607E9" w:rsidP="008607E9">
      <w:pPr>
        <w:pStyle w:val="ListParagraph"/>
        <w:numPr>
          <w:ilvl w:val="0"/>
          <w:numId w:val="2"/>
        </w:numPr>
      </w:pPr>
      <w:r w:rsidRPr="000A5B4C">
        <w:t xml:space="preserve">Unaccompanied youth under 25 years of age, or families with children and youth, who do not otherwise qualify as homeless under this definition, but who: </w:t>
      </w:r>
    </w:p>
    <w:p w14:paraId="1DE60264" w14:textId="77777777" w:rsidR="008607E9" w:rsidRPr="000A5B4C" w:rsidRDefault="008607E9" w:rsidP="008607E9">
      <w:pPr>
        <w:pStyle w:val="ListParagraph"/>
        <w:numPr>
          <w:ilvl w:val="1"/>
          <w:numId w:val="2"/>
        </w:numPr>
      </w:pPr>
      <w:r w:rsidRPr="000A5B4C">
        <w:t>Are defined as homeless under section 387 of the Runaway and Homeless Youth Act (</w:t>
      </w:r>
      <w:hyperlink r:id="rId7" w:tgtFrame="_blank" w:history="1">
        <w:r w:rsidRPr="000A5B4C">
          <w:rPr>
            <w:rStyle w:val="Hyperlink"/>
          </w:rPr>
          <w:t>42 U.S.C. 5732a</w:t>
        </w:r>
      </w:hyperlink>
      <w:r w:rsidRPr="000A5B4C">
        <w:t>), section 637 of the Head Start Act (</w:t>
      </w:r>
      <w:hyperlink r:id="rId8" w:tgtFrame="_blank" w:history="1">
        <w:r w:rsidRPr="000A5B4C">
          <w:rPr>
            <w:rStyle w:val="Hyperlink"/>
          </w:rPr>
          <w:t>42 U.S.C. 9832</w:t>
        </w:r>
      </w:hyperlink>
      <w:r w:rsidRPr="000A5B4C">
        <w:t>), section 41403 of the Violence Against Women Act of 1994 (</w:t>
      </w:r>
      <w:hyperlink r:id="rId9" w:tgtFrame="_blank" w:history="1">
        <w:r w:rsidRPr="000A5B4C">
          <w:rPr>
            <w:rStyle w:val="Hyperlink"/>
          </w:rPr>
          <w:t>42 U.S.C. 14043e-2</w:t>
        </w:r>
      </w:hyperlink>
      <w:r w:rsidRPr="000A5B4C">
        <w:t>), section 330(h) of the Public Health Service Act (</w:t>
      </w:r>
      <w:hyperlink r:id="rId10" w:tgtFrame="_blank" w:history="1">
        <w:r w:rsidRPr="000A5B4C">
          <w:rPr>
            <w:rStyle w:val="Hyperlink"/>
          </w:rPr>
          <w:t>42 U.S.C. 254b(h)</w:t>
        </w:r>
      </w:hyperlink>
      <w:r w:rsidRPr="000A5B4C">
        <w:t>), section 3 of the Food and Nutrition Act of 2008 (</w:t>
      </w:r>
      <w:hyperlink r:id="rId11" w:tgtFrame="_blank" w:history="1">
        <w:r w:rsidRPr="000A5B4C">
          <w:rPr>
            <w:rStyle w:val="Hyperlink"/>
          </w:rPr>
          <w:t>7 U.S.C. 2012</w:t>
        </w:r>
      </w:hyperlink>
      <w:r w:rsidRPr="000A5B4C">
        <w:t>), section 17(b) of the Child Nutrition Act of 1966 (</w:t>
      </w:r>
      <w:hyperlink r:id="rId12" w:tgtFrame="_blank" w:history="1">
        <w:r w:rsidRPr="000A5B4C">
          <w:rPr>
            <w:rStyle w:val="Hyperlink"/>
          </w:rPr>
          <w:t>42 U.S.C. 1786(b)</w:t>
        </w:r>
      </w:hyperlink>
      <w:r w:rsidRPr="000A5B4C">
        <w:t>), or section 725 of the McKinney-Vento Homeless Assistance Act (</w:t>
      </w:r>
      <w:hyperlink r:id="rId13" w:tgtFrame="_blank" w:history="1">
        <w:r w:rsidRPr="000A5B4C">
          <w:rPr>
            <w:rStyle w:val="Hyperlink"/>
          </w:rPr>
          <w:t>42 U.S.C. 11434a</w:t>
        </w:r>
      </w:hyperlink>
      <w:r w:rsidRPr="000A5B4C">
        <w:t xml:space="preserve">); </w:t>
      </w:r>
    </w:p>
    <w:p w14:paraId="1BF67E09" w14:textId="77777777" w:rsidR="008607E9" w:rsidRPr="000A5B4C" w:rsidRDefault="008607E9" w:rsidP="008607E9">
      <w:pPr>
        <w:pStyle w:val="ListParagraph"/>
        <w:numPr>
          <w:ilvl w:val="1"/>
          <w:numId w:val="2"/>
        </w:numPr>
      </w:pPr>
      <w:r w:rsidRPr="000A5B4C">
        <w:lastRenderedPageBreak/>
        <w:t xml:space="preserve">Have not had a lease, ownership interest, or occupancy agreement in permanent housing at any time during the 60 days immediately preceding the date of application for homeless assistance; </w:t>
      </w:r>
    </w:p>
    <w:p w14:paraId="5A4DF297" w14:textId="77777777" w:rsidR="008607E9" w:rsidRPr="000A5B4C" w:rsidRDefault="008607E9" w:rsidP="008607E9">
      <w:pPr>
        <w:pStyle w:val="ListParagraph"/>
        <w:numPr>
          <w:ilvl w:val="1"/>
          <w:numId w:val="2"/>
        </w:numPr>
      </w:pPr>
      <w:r w:rsidRPr="000A5B4C">
        <w:t xml:space="preserve">Have experienced persistent instability as measured by two moves or more during the 60-day period immediately preceding the date of applying for homeless assistance; and </w:t>
      </w:r>
    </w:p>
    <w:p w14:paraId="7B606417" w14:textId="77777777" w:rsidR="008607E9" w:rsidRPr="000A5B4C" w:rsidRDefault="008607E9" w:rsidP="008607E9">
      <w:pPr>
        <w:pStyle w:val="ListParagraph"/>
        <w:numPr>
          <w:ilvl w:val="1"/>
          <w:numId w:val="2"/>
        </w:numPr>
      </w:pPr>
      <w:r w:rsidRPr="000A5B4C">
        <w:t xml:space="preserve">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General Education Development (GED), illiteracy, low English proficiency, a history of incarceration or detention for criminal activity, and a history of unstable employment; or </w:t>
      </w:r>
    </w:p>
    <w:p w14:paraId="3BECD35F" w14:textId="77777777" w:rsidR="008607E9" w:rsidRPr="000A5B4C" w:rsidRDefault="008607E9" w:rsidP="008607E9">
      <w:pPr>
        <w:pStyle w:val="ListParagraph"/>
        <w:numPr>
          <w:ilvl w:val="0"/>
          <w:numId w:val="2"/>
        </w:numPr>
      </w:pPr>
      <w:r w:rsidRPr="000A5B4C">
        <w:t xml:space="preserve">Any individual or family who: </w:t>
      </w:r>
    </w:p>
    <w:p w14:paraId="0775B7A9" w14:textId="77777777" w:rsidR="008607E9" w:rsidRPr="000A5B4C" w:rsidRDefault="008607E9" w:rsidP="008607E9">
      <w:pPr>
        <w:pStyle w:val="ListParagraph"/>
        <w:numPr>
          <w:ilvl w:val="1"/>
          <w:numId w:val="2"/>
        </w:numPr>
      </w:pPr>
      <w:r w:rsidRPr="000A5B4C">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14:paraId="4A138132" w14:textId="77777777" w:rsidR="008607E9" w:rsidRPr="000A5B4C" w:rsidRDefault="008607E9" w:rsidP="008607E9">
      <w:pPr>
        <w:pStyle w:val="ListParagraph"/>
        <w:numPr>
          <w:ilvl w:val="1"/>
          <w:numId w:val="2"/>
        </w:numPr>
      </w:pPr>
      <w:r w:rsidRPr="000A5B4C">
        <w:t xml:space="preserve">Has no other residence; and </w:t>
      </w:r>
    </w:p>
    <w:p w14:paraId="69503AD8" w14:textId="77777777" w:rsidR="008607E9" w:rsidRPr="000A5B4C" w:rsidRDefault="008607E9" w:rsidP="008607E9">
      <w:pPr>
        <w:pStyle w:val="ListParagraph"/>
        <w:numPr>
          <w:ilvl w:val="1"/>
          <w:numId w:val="2"/>
        </w:numPr>
      </w:pPr>
      <w:r w:rsidRPr="000A5B4C">
        <w:t>Lacks the resources or support networks, e.g., family, friends, faith-based or other social networks, to obtain other permanent housing.</w:t>
      </w:r>
    </w:p>
    <w:p w14:paraId="45EE6EF3" w14:textId="77777777" w:rsidR="008607E9" w:rsidRPr="006C7203" w:rsidRDefault="008607E9" w:rsidP="008607E9">
      <w:pPr>
        <w:rPr>
          <w:i/>
          <w:u w:val="single"/>
        </w:rPr>
      </w:pPr>
      <w:r w:rsidRPr="006C7203">
        <w:rPr>
          <w:i/>
          <w:u w:val="single"/>
        </w:rPr>
        <w:t>At-Risk of Homelessness:</w:t>
      </w:r>
    </w:p>
    <w:p w14:paraId="67232B21" w14:textId="77777777" w:rsidR="008607E9" w:rsidRPr="006C7203" w:rsidRDefault="008607E9" w:rsidP="008607E9">
      <w:pPr>
        <w:pStyle w:val="ListParagraph"/>
        <w:numPr>
          <w:ilvl w:val="0"/>
          <w:numId w:val="6"/>
        </w:numPr>
      </w:pPr>
      <w:r w:rsidRPr="006C7203">
        <w:t xml:space="preserve">An individual or family who: </w:t>
      </w:r>
    </w:p>
    <w:p w14:paraId="4B3A7C6F" w14:textId="77777777" w:rsidR="008607E9" w:rsidRPr="006C7203" w:rsidRDefault="008607E9" w:rsidP="008607E9">
      <w:pPr>
        <w:pStyle w:val="ListParagraph"/>
        <w:numPr>
          <w:ilvl w:val="1"/>
          <w:numId w:val="6"/>
        </w:numPr>
      </w:pPr>
      <w:r w:rsidRPr="006C7203">
        <w:t xml:space="preserve">Has an annual income below 30 percent of median family income for the area, as determined by HUD; </w:t>
      </w:r>
    </w:p>
    <w:p w14:paraId="1DC49A4C" w14:textId="77777777" w:rsidR="008607E9" w:rsidRPr="006C7203" w:rsidRDefault="008607E9" w:rsidP="008607E9">
      <w:pPr>
        <w:pStyle w:val="ListParagraph"/>
        <w:numPr>
          <w:ilvl w:val="1"/>
          <w:numId w:val="6"/>
        </w:numPr>
      </w:pPr>
      <w:r w:rsidRPr="006C7203">
        <w:t xml:space="preserve">Does not have sufficient resources or support networks, </w:t>
      </w:r>
      <w:r w:rsidRPr="006C7203">
        <w:rPr>
          <w:i/>
          <w:iCs/>
        </w:rPr>
        <w:t>e.g.,</w:t>
      </w:r>
      <w:r w:rsidRPr="006C7203">
        <w:t xml:space="preserve"> family, friends, faith-based or other social networks, immediately available to prevent them from moving to an emergency shelter or another place described in paragraph (1) of the “Homeless” definition in this section; and </w:t>
      </w:r>
    </w:p>
    <w:p w14:paraId="1A6025A3" w14:textId="77777777" w:rsidR="008607E9" w:rsidRPr="006C7203" w:rsidRDefault="008607E9" w:rsidP="008607E9">
      <w:pPr>
        <w:pStyle w:val="ListParagraph"/>
        <w:numPr>
          <w:ilvl w:val="1"/>
          <w:numId w:val="6"/>
        </w:numPr>
      </w:pPr>
      <w:r w:rsidRPr="006C7203">
        <w:t xml:space="preserve">Meets one of the following conditions: </w:t>
      </w:r>
    </w:p>
    <w:p w14:paraId="75909163" w14:textId="77777777" w:rsidR="008607E9" w:rsidRPr="006C7203" w:rsidRDefault="008607E9" w:rsidP="008607E9">
      <w:pPr>
        <w:pStyle w:val="ListParagraph"/>
        <w:numPr>
          <w:ilvl w:val="0"/>
          <w:numId w:val="7"/>
        </w:numPr>
        <w:ind w:left="1710" w:hanging="180"/>
      </w:pPr>
      <w:r w:rsidRPr="006C7203">
        <w:t xml:space="preserve">Has moved because of economic reasons two or more times during the 60 days immediately preceding the application for homelessness prevention assistance; </w:t>
      </w:r>
    </w:p>
    <w:p w14:paraId="4626857D" w14:textId="77777777" w:rsidR="008607E9" w:rsidRPr="006C7203" w:rsidRDefault="008607E9" w:rsidP="008607E9">
      <w:pPr>
        <w:pStyle w:val="ListParagraph"/>
        <w:numPr>
          <w:ilvl w:val="0"/>
          <w:numId w:val="7"/>
        </w:numPr>
        <w:ind w:left="1710" w:hanging="180"/>
      </w:pPr>
      <w:r>
        <w:t>I</w:t>
      </w:r>
      <w:r w:rsidRPr="006C7203">
        <w:t xml:space="preserve">s living in the home of another because of economic hardship; </w:t>
      </w:r>
    </w:p>
    <w:p w14:paraId="4EDBF66F" w14:textId="77777777" w:rsidR="008607E9" w:rsidRPr="006C7203" w:rsidRDefault="008607E9" w:rsidP="008607E9">
      <w:pPr>
        <w:pStyle w:val="ListParagraph"/>
        <w:numPr>
          <w:ilvl w:val="0"/>
          <w:numId w:val="7"/>
        </w:numPr>
        <w:ind w:left="1710" w:hanging="180"/>
      </w:pPr>
      <w:r w:rsidRPr="006C7203">
        <w:t xml:space="preserve">Has been notified in writing that their right to occupy their current housing or living situation will be terminated within 21 days after the date of application for assistance; </w:t>
      </w:r>
    </w:p>
    <w:p w14:paraId="6789DAFC" w14:textId="77777777" w:rsidR="008607E9" w:rsidRPr="006C7203" w:rsidRDefault="008607E9" w:rsidP="008607E9">
      <w:pPr>
        <w:pStyle w:val="ListParagraph"/>
        <w:numPr>
          <w:ilvl w:val="0"/>
          <w:numId w:val="7"/>
        </w:numPr>
        <w:ind w:left="1710" w:hanging="180"/>
      </w:pPr>
      <w:r w:rsidRPr="006C7203">
        <w:t xml:space="preserve">Lives in a hotel or motel and the cost of the hotel or motel stay is not paid by charitable organizations or by federal, State, or local government programs for low-income individuals; </w:t>
      </w:r>
    </w:p>
    <w:p w14:paraId="2EA2ED82" w14:textId="77777777" w:rsidR="008607E9" w:rsidRPr="006C7203" w:rsidRDefault="008607E9" w:rsidP="008607E9">
      <w:pPr>
        <w:pStyle w:val="ListParagraph"/>
        <w:numPr>
          <w:ilvl w:val="0"/>
          <w:numId w:val="7"/>
        </w:numPr>
        <w:ind w:left="1710" w:hanging="180"/>
      </w:pPr>
      <w:r w:rsidRPr="006C7203">
        <w:lastRenderedPageBreak/>
        <w:t xml:space="preserve">Lives in a single-room occupancy or efficiency apartment unit in which there reside more than two persons or lives in a larger housing unit in which there reside more than 1.5 people per room, as defined by the U.S. Census Bureau; </w:t>
      </w:r>
    </w:p>
    <w:p w14:paraId="3B7E66A6" w14:textId="77777777" w:rsidR="008607E9" w:rsidRPr="006C7203" w:rsidRDefault="008607E9" w:rsidP="008607E9">
      <w:pPr>
        <w:pStyle w:val="ListParagraph"/>
        <w:numPr>
          <w:ilvl w:val="0"/>
          <w:numId w:val="7"/>
        </w:numPr>
        <w:ind w:left="1710" w:hanging="180"/>
      </w:pPr>
      <w:r w:rsidRPr="006C7203">
        <w:t xml:space="preserve">Is exiting a publicly funded institution, or system of care (such as a health-care facility, a mental health facility, foster care or other youth facility, or correction program or institution); or </w:t>
      </w:r>
    </w:p>
    <w:p w14:paraId="7B34C0A6" w14:textId="77777777" w:rsidR="008607E9" w:rsidRPr="006C7203" w:rsidRDefault="008607E9" w:rsidP="008607E9">
      <w:pPr>
        <w:pStyle w:val="ListParagraph"/>
        <w:numPr>
          <w:ilvl w:val="0"/>
          <w:numId w:val="7"/>
        </w:numPr>
        <w:ind w:left="1710" w:hanging="180"/>
      </w:pPr>
      <w:r w:rsidRPr="006C7203">
        <w:t xml:space="preserve">Otherwise lives in housing that has characteristics associated with instability and an increased risk of homelessness, as identified in the recipient's approved consolidated plan; </w:t>
      </w:r>
    </w:p>
    <w:p w14:paraId="31CF920C" w14:textId="77777777" w:rsidR="008607E9" w:rsidRPr="006C7203" w:rsidRDefault="008607E9" w:rsidP="008607E9">
      <w:pPr>
        <w:pStyle w:val="ListParagraph"/>
        <w:numPr>
          <w:ilvl w:val="0"/>
          <w:numId w:val="6"/>
        </w:numPr>
        <w:ind w:left="720" w:hanging="360"/>
      </w:pPr>
      <w:r w:rsidRPr="006C7203">
        <w:t>A child or youth who does not qualify as “homeless” under this section, but qualifies as “homeless” under section 387(3) of the Runaway and Homeless Youth Act (</w:t>
      </w:r>
      <w:hyperlink r:id="rId14" w:tgtFrame="_blank" w:history="1">
        <w:r w:rsidRPr="006C7203">
          <w:rPr>
            <w:rStyle w:val="Hyperlink"/>
          </w:rPr>
          <w:t>42 U.S.C. 5732a(3)</w:t>
        </w:r>
      </w:hyperlink>
      <w:r w:rsidRPr="006C7203">
        <w:t>), section 637(11) of the Head Start Act (</w:t>
      </w:r>
      <w:hyperlink r:id="rId15" w:tgtFrame="_blank" w:history="1">
        <w:r w:rsidRPr="006C7203">
          <w:rPr>
            <w:rStyle w:val="Hyperlink"/>
          </w:rPr>
          <w:t>42 U.S.C. 9832(11)</w:t>
        </w:r>
      </w:hyperlink>
      <w:r w:rsidRPr="006C7203">
        <w:t>), section 41403(6) of the Violence Against Women Act of 1994 (</w:t>
      </w:r>
      <w:hyperlink r:id="rId16" w:tgtFrame="_blank" w:history="1">
        <w:r w:rsidRPr="006C7203">
          <w:rPr>
            <w:rStyle w:val="Hyperlink"/>
          </w:rPr>
          <w:t>42 U.S.C. 14043e-2(6)</w:t>
        </w:r>
      </w:hyperlink>
      <w:r w:rsidRPr="006C7203">
        <w:t>), section 330(h)(5)(A) of the Public Health Service Act (</w:t>
      </w:r>
      <w:hyperlink r:id="rId17" w:tgtFrame="_blank" w:history="1">
        <w:r w:rsidRPr="006C7203">
          <w:rPr>
            <w:rStyle w:val="Hyperlink"/>
          </w:rPr>
          <w:t>42 U.S.C. 254b(h)(5)(A)</w:t>
        </w:r>
      </w:hyperlink>
      <w:r w:rsidRPr="006C7203">
        <w:t>), section 3(m) of the Food and Nutrition Act of 2008 (</w:t>
      </w:r>
      <w:hyperlink r:id="rId18" w:tgtFrame="_blank" w:history="1">
        <w:r w:rsidRPr="006C7203">
          <w:rPr>
            <w:rStyle w:val="Hyperlink"/>
          </w:rPr>
          <w:t>7 U.S.C. 2012(m)</w:t>
        </w:r>
      </w:hyperlink>
      <w:r w:rsidRPr="006C7203">
        <w:t>), or section 17(b)(15) of the Child Nutrition Act of 1966 (</w:t>
      </w:r>
      <w:hyperlink r:id="rId19" w:tgtFrame="_blank" w:history="1">
        <w:r w:rsidRPr="006C7203">
          <w:rPr>
            <w:rStyle w:val="Hyperlink"/>
          </w:rPr>
          <w:t>42 U.S.C. 1786(b)(15)</w:t>
        </w:r>
      </w:hyperlink>
      <w:r w:rsidRPr="006C7203">
        <w:t xml:space="preserve">); or </w:t>
      </w:r>
    </w:p>
    <w:p w14:paraId="0322A603" w14:textId="77777777" w:rsidR="008607E9" w:rsidRPr="006C7203" w:rsidRDefault="008607E9" w:rsidP="008607E9">
      <w:pPr>
        <w:pStyle w:val="ListParagraph"/>
        <w:numPr>
          <w:ilvl w:val="0"/>
          <w:numId w:val="6"/>
        </w:numPr>
        <w:ind w:left="720" w:hanging="360"/>
      </w:pPr>
      <w:r w:rsidRPr="006C7203">
        <w:t>A child or youth who does not qualify as “homeless” under this section, but qualifies as “homeless” under section 725(2) of the McKinney-Vento Homeless Assistance Act (</w:t>
      </w:r>
      <w:hyperlink r:id="rId20" w:tgtFrame="_blank" w:history="1">
        <w:r w:rsidRPr="006C7203">
          <w:rPr>
            <w:rStyle w:val="Hyperlink"/>
          </w:rPr>
          <w:t>42 U.S.C. 11434a(2)</w:t>
        </w:r>
      </w:hyperlink>
      <w:r w:rsidRPr="006C7203">
        <w:t>), and the parent(s) or guardian(s) of that child or youth if living with her or him.</w:t>
      </w:r>
    </w:p>
    <w:p w14:paraId="634777C9" w14:textId="77777777" w:rsidR="00380A95" w:rsidRDefault="00380A95"/>
    <w:p w14:paraId="47CB4ACA" w14:textId="5C1C9D8B" w:rsidR="00380A95" w:rsidRDefault="00690251">
      <w:pPr>
        <w:rPr>
          <w:b/>
          <w:u w:val="single"/>
        </w:rPr>
      </w:pPr>
      <w:r w:rsidRPr="00690251">
        <w:rPr>
          <w:b/>
          <w:u w:val="single"/>
        </w:rPr>
        <w:t>Procedure:</w:t>
      </w:r>
    </w:p>
    <w:p w14:paraId="236B455B" w14:textId="37F97785" w:rsidR="00A0169C" w:rsidRDefault="00AC5EF7" w:rsidP="00B71C7B">
      <w:pPr>
        <w:pStyle w:val="ListParagraph"/>
        <w:numPr>
          <w:ilvl w:val="0"/>
          <w:numId w:val="15"/>
        </w:numPr>
      </w:pPr>
      <w:r>
        <w:t>Staff answering the Homeless Hotline will determine if the Prevention Assessment should be completed with the client, based on their current housing situation (at-risk of homelessness only)</w:t>
      </w:r>
    </w:p>
    <w:p w14:paraId="5D2FCFEF" w14:textId="458F91AD" w:rsidR="00A0169C" w:rsidRDefault="00A0169C" w:rsidP="00B71C7B">
      <w:pPr>
        <w:pStyle w:val="ListParagraph"/>
        <w:numPr>
          <w:ilvl w:val="0"/>
          <w:numId w:val="15"/>
        </w:numPr>
      </w:pPr>
      <w:r>
        <w:t>Prior to completing an assessment, staff will ask the client if they have a notice to vacate</w:t>
      </w:r>
    </w:p>
    <w:p w14:paraId="74D737F6" w14:textId="3C162C37" w:rsidR="00A0169C" w:rsidRDefault="00557DCA" w:rsidP="00B71C7B">
      <w:pPr>
        <w:pStyle w:val="ListParagraph"/>
        <w:numPr>
          <w:ilvl w:val="1"/>
          <w:numId w:val="15"/>
        </w:numPr>
      </w:pPr>
      <w:r>
        <w:t>If the client has less than 14 days remaining on notice, ask the client if their landlord will accept payment</w:t>
      </w:r>
      <w:r w:rsidR="00A0169C">
        <w:t xml:space="preserve"> in order to stay in the home</w:t>
      </w:r>
    </w:p>
    <w:p w14:paraId="0CD40884" w14:textId="3A83E689" w:rsidR="00A0169C" w:rsidRDefault="00A0169C" w:rsidP="00B71C7B">
      <w:pPr>
        <w:pStyle w:val="ListParagraph"/>
        <w:numPr>
          <w:ilvl w:val="2"/>
          <w:numId w:val="15"/>
        </w:numPr>
      </w:pPr>
      <w:r>
        <w:t>If the client doesn’t know, ask the client if they can find out and call back</w:t>
      </w:r>
    </w:p>
    <w:p w14:paraId="5D010006" w14:textId="01093E15" w:rsidR="00690251" w:rsidRDefault="00557DCA" w:rsidP="00B71C7B">
      <w:pPr>
        <w:pStyle w:val="ListParagraph"/>
        <w:numPr>
          <w:ilvl w:val="2"/>
          <w:numId w:val="15"/>
        </w:numPr>
      </w:pPr>
      <w:r>
        <w:t xml:space="preserve">If </w:t>
      </w:r>
      <w:r w:rsidR="00A0169C">
        <w:t>landlord will not accept payment</w:t>
      </w:r>
      <w:r>
        <w:t>, a full vulnerability assessment should be completed, rather</w:t>
      </w:r>
      <w:r w:rsidR="00A0169C">
        <w:t xml:space="preserve"> than the prevention assessment</w:t>
      </w:r>
    </w:p>
    <w:p w14:paraId="5A9F5750" w14:textId="68677128" w:rsidR="00A0169C" w:rsidRDefault="00A0169C" w:rsidP="00B71C7B">
      <w:pPr>
        <w:pStyle w:val="ListParagraph"/>
        <w:numPr>
          <w:ilvl w:val="2"/>
          <w:numId w:val="15"/>
        </w:numPr>
      </w:pPr>
      <w:r>
        <w:t>If landlord will accept payment, staff will complete the Prevention Assessment and make a referral as indicated below</w:t>
      </w:r>
    </w:p>
    <w:p w14:paraId="1A017147" w14:textId="446360E6" w:rsidR="006B6525" w:rsidRDefault="006B6525" w:rsidP="00E41FF7"/>
    <w:p w14:paraId="2EB07BEF" w14:textId="6C6E2016" w:rsidR="00550421" w:rsidRPr="00550421" w:rsidRDefault="00E41FF7" w:rsidP="00550421">
      <w:pPr>
        <w:rPr>
          <w:b/>
          <w:i/>
        </w:rPr>
      </w:pPr>
      <w:r>
        <w:rPr>
          <w:b/>
          <w:i/>
        </w:rPr>
        <w:t>High Priority,</w:t>
      </w:r>
      <w:r w:rsidR="00550421" w:rsidRPr="00550421">
        <w:rPr>
          <w:b/>
          <w:i/>
        </w:rPr>
        <w:t xml:space="preserve"> </w:t>
      </w:r>
      <w:r w:rsidRPr="00550421">
        <w:rPr>
          <w:b/>
          <w:i/>
        </w:rPr>
        <w:t xml:space="preserve">Urgent </w:t>
      </w:r>
      <w:r w:rsidR="00CD035D">
        <w:rPr>
          <w:b/>
          <w:i/>
        </w:rPr>
        <w:t>Cases</w:t>
      </w:r>
    </w:p>
    <w:p w14:paraId="2638612C" w14:textId="7FFFD6CD" w:rsidR="00550421" w:rsidRDefault="009C47CC" w:rsidP="00E41FF7">
      <w:r>
        <w:lastRenderedPageBreak/>
        <w:t xml:space="preserve">After completing the assessment in HMIS, if </w:t>
      </w:r>
      <w:r w:rsidR="00E41FF7">
        <w:t xml:space="preserve">client scores </w:t>
      </w:r>
      <w:r w:rsidR="00340706">
        <w:t>10</w:t>
      </w:r>
      <w:r w:rsidR="00E41FF7">
        <w:t xml:space="preserve"> or above, and </w:t>
      </w:r>
      <w:r>
        <w:t>an urgent need exists</w:t>
      </w:r>
      <w:r w:rsidR="00550421">
        <w:t xml:space="preserve"> as indicated in the assessment</w:t>
      </w:r>
      <w:r>
        <w:t xml:space="preserve">, </w:t>
      </w:r>
      <w:r w:rsidR="00E41FF7">
        <w:t xml:space="preserve">Hands of Hope </w:t>
      </w:r>
      <w:r w:rsidR="00550421">
        <w:t xml:space="preserve">staff will immediately submit a referral through HMIS </w:t>
      </w:r>
    </w:p>
    <w:p w14:paraId="7273F5AA" w14:textId="2CF518B4" w:rsidR="00CD035D" w:rsidRDefault="00CD035D" w:rsidP="00CD035D">
      <w:pPr>
        <w:pStyle w:val="ListParagraph"/>
        <w:numPr>
          <w:ilvl w:val="0"/>
          <w:numId w:val="12"/>
        </w:numPr>
      </w:pPr>
      <w:r>
        <w:t xml:space="preserve">Urgent need exists when the date on the notice to vacate is less than </w:t>
      </w:r>
      <w:r w:rsidR="00574073">
        <w:t xml:space="preserve">14 </w:t>
      </w:r>
      <w:r>
        <w:t>days away from the date of assessment</w:t>
      </w:r>
    </w:p>
    <w:p w14:paraId="0A6ABB74" w14:textId="0A86405C" w:rsidR="009C47CC" w:rsidRDefault="00550421" w:rsidP="00E41FF7">
      <w:pPr>
        <w:pStyle w:val="ListParagraph"/>
        <w:numPr>
          <w:ilvl w:val="0"/>
          <w:numId w:val="12"/>
        </w:numPr>
      </w:pPr>
      <w:r>
        <w:t xml:space="preserve">If client is eligible, referrals will be made </w:t>
      </w:r>
      <w:r w:rsidR="009C47CC">
        <w:t xml:space="preserve">to </w:t>
      </w:r>
      <w:r>
        <w:rPr>
          <w:u w:val="single"/>
        </w:rPr>
        <w:t>a</w:t>
      </w:r>
      <w:r w:rsidR="00340706">
        <w:rPr>
          <w:u w:val="single"/>
        </w:rPr>
        <w:t xml:space="preserve"> Sutter County Program or a Yuba</w:t>
      </w:r>
      <w:r>
        <w:rPr>
          <w:u w:val="single"/>
        </w:rPr>
        <w:t xml:space="preserve"> County Program</w:t>
      </w:r>
      <w:r w:rsidR="009C47CC">
        <w:rPr>
          <w:u w:val="single"/>
        </w:rPr>
        <w:t xml:space="preserve"> </w:t>
      </w:r>
      <w:r w:rsidR="009C47CC" w:rsidRPr="009C47CC">
        <w:t xml:space="preserve">for </w:t>
      </w:r>
      <w:r w:rsidR="00E41FF7">
        <w:t>Homelessness</w:t>
      </w:r>
      <w:r w:rsidR="009C47CC" w:rsidRPr="009C47CC">
        <w:t xml:space="preserve"> Prevention</w:t>
      </w:r>
    </w:p>
    <w:p w14:paraId="592DCA89" w14:textId="449BB017" w:rsidR="00E41FF7" w:rsidRPr="00E41FF7" w:rsidRDefault="00550421" w:rsidP="00E41FF7">
      <w:pPr>
        <w:pStyle w:val="ListParagraph"/>
        <w:numPr>
          <w:ilvl w:val="1"/>
          <w:numId w:val="12"/>
        </w:numPr>
        <w:rPr>
          <w:u w:val="single"/>
        </w:rPr>
      </w:pPr>
      <w:r>
        <w:t>The County Program will review the case to determine eligibil</w:t>
      </w:r>
      <w:r w:rsidR="00E41FF7">
        <w:t>ity</w:t>
      </w:r>
      <w:r w:rsidR="00574073">
        <w:t xml:space="preserve"> within 24 hours or by next business day</w:t>
      </w:r>
      <w:r w:rsidR="00E41FF7">
        <w:t xml:space="preserve">. </w:t>
      </w:r>
    </w:p>
    <w:p w14:paraId="07C1368D" w14:textId="0760EECB" w:rsidR="00550421" w:rsidRPr="00E41FF7" w:rsidRDefault="00E41FF7" w:rsidP="00E41FF7">
      <w:pPr>
        <w:pStyle w:val="ListParagraph"/>
        <w:numPr>
          <w:ilvl w:val="2"/>
          <w:numId w:val="12"/>
        </w:numPr>
        <w:rPr>
          <w:u w:val="single"/>
        </w:rPr>
      </w:pPr>
      <w:r>
        <w:t>I</w:t>
      </w:r>
      <w:r w:rsidR="00550421">
        <w:t>f the referral is accepted, County staff will make a</w:t>
      </w:r>
      <w:r w:rsidR="00574073">
        <w:t>n urgent</w:t>
      </w:r>
      <w:r w:rsidR="00550421">
        <w:t xml:space="preserve"> referral through HMIS to </w:t>
      </w:r>
      <w:r w:rsidR="00550421" w:rsidRPr="00E41FF7">
        <w:rPr>
          <w:u w:val="single"/>
        </w:rPr>
        <w:t xml:space="preserve">Bridges </w:t>
      </w:r>
      <w:proofErr w:type="gramStart"/>
      <w:r w:rsidR="00550421" w:rsidRPr="00E41FF7">
        <w:rPr>
          <w:u w:val="single"/>
        </w:rPr>
        <w:t>To</w:t>
      </w:r>
      <w:proofErr w:type="gramEnd"/>
      <w:r w:rsidR="00550421" w:rsidRPr="00E41FF7">
        <w:rPr>
          <w:u w:val="single"/>
        </w:rPr>
        <w:t xml:space="preserve"> Housing</w:t>
      </w:r>
      <w:r w:rsidR="00550421">
        <w:t xml:space="preserve">, indicating that </w:t>
      </w:r>
      <w:r>
        <w:t xml:space="preserve">the client meets eligibility and that </w:t>
      </w:r>
      <w:r w:rsidR="00574073">
        <w:t xml:space="preserve">the </w:t>
      </w:r>
      <w:r>
        <w:t xml:space="preserve">County will provide </w:t>
      </w:r>
      <w:r w:rsidR="00574073">
        <w:t xml:space="preserve">ongoing </w:t>
      </w:r>
      <w:r>
        <w:t>assistance</w:t>
      </w:r>
      <w:r w:rsidR="00574073">
        <w:t xml:space="preserve"> to promote housing stability</w:t>
      </w:r>
    </w:p>
    <w:p w14:paraId="6EC927E4" w14:textId="0F2E8532" w:rsidR="00E41FF7" w:rsidRPr="00E41FF7" w:rsidRDefault="00E41FF7" w:rsidP="00E41FF7">
      <w:pPr>
        <w:pStyle w:val="ListParagraph"/>
        <w:numPr>
          <w:ilvl w:val="3"/>
          <w:numId w:val="12"/>
        </w:numPr>
        <w:rPr>
          <w:u w:val="single"/>
        </w:rPr>
      </w:pPr>
      <w:r>
        <w:t>Bridges to Housing will provide a timely, single intervention in order to keep client housed</w:t>
      </w:r>
    </w:p>
    <w:p w14:paraId="06B892FA" w14:textId="33A47AA4" w:rsidR="00E41FF7" w:rsidRPr="00E41FF7" w:rsidRDefault="00E41FF7" w:rsidP="00E41FF7">
      <w:pPr>
        <w:pStyle w:val="ListParagraph"/>
        <w:numPr>
          <w:ilvl w:val="3"/>
          <w:numId w:val="12"/>
        </w:numPr>
        <w:rPr>
          <w:u w:val="single"/>
        </w:rPr>
      </w:pPr>
      <w:r>
        <w:t>County will provide case management and conduct normal processes to ensure client maintains housing long-term.</w:t>
      </w:r>
    </w:p>
    <w:p w14:paraId="6863F1C6" w14:textId="2F59B954" w:rsidR="00E41FF7" w:rsidRDefault="00E41FF7" w:rsidP="00CD035D">
      <w:pPr>
        <w:pStyle w:val="ListParagraph"/>
        <w:numPr>
          <w:ilvl w:val="2"/>
          <w:numId w:val="12"/>
        </w:numPr>
        <w:rPr>
          <w:u w:val="single"/>
        </w:rPr>
      </w:pPr>
      <w:r>
        <w:t xml:space="preserve">If the referral is not accepted, County staff will make a referral to </w:t>
      </w:r>
      <w:r w:rsidRPr="00E41FF7">
        <w:rPr>
          <w:u w:val="single"/>
        </w:rPr>
        <w:t>The Salvation Army</w:t>
      </w:r>
    </w:p>
    <w:p w14:paraId="202785BD" w14:textId="5D1A8A4A" w:rsidR="00574073" w:rsidRPr="00550421" w:rsidRDefault="00574073" w:rsidP="00B71C7B">
      <w:pPr>
        <w:pStyle w:val="ListParagraph"/>
        <w:numPr>
          <w:ilvl w:val="3"/>
          <w:numId w:val="12"/>
        </w:numPr>
        <w:rPr>
          <w:u w:val="single"/>
        </w:rPr>
      </w:pPr>
      <w:r>
        <w:t>The Salvation Army will conduct their normal process to assist the household as quickly as possible</w:t>
      </w:r>
    </w:p>
    <w:p w14:paraId="195CBB0D" w14:textId="5E381E09" w:rsidR="00550421" w:rsidRDefault="00550421" w:rsidP="00CD035D">
      <w:pPr>
        <w:pStyle w:val="ListParagraph"/>
        <w:numPr>
          <w:ilvl w:val="0"/>
          <w:numId w:val="12"/>
        </w:numPr>
      </w:pPr>
      <w:r>
        <w:t>If client is not eligible for a County Program,</w:t>
      </w:r>
      <w:r w:rsidR="00E41FF7">
        <w:t xml:space="preserve"> referrals will be made</w:t>
      </w:r>
      <w:r>
        <w:t xml:space="preserve"> to </w:t>
      </w:r>
      <w:r w:rsidRPr="00550421">
        <w:rPr>
          <w:u w:val="single"/>
        </w:rPr>
        <w:t>The Salvation Army</w:t>
      </w:r>
      <w:r>
        <w:t xml:space="preserve"> for Eviction Prevention</w:t>
      </w:r>
    </w:p>
    <w:p w14:paraId="29E5215A" w14:textId="394D6AEA" w:rsidR="00574073" w:rsidRDefault="00574073" w:rsidP="00B71C7B">
      <w:pPr>
        <w:pStyle w:val="ListParagraph"/>
        <w:numPr>
          <w:ilvl w:val="1"/>
          <w:numId w:val="12"/>
        </w:numPr>
      </w:pPr>
      <w:r>
        <w:t>The Salvation Army will conduct their normal process to assist the household as quickly as possible</w:t>
      </w:r>
    </w:p>
    <w:p w14:paraId="571129BC" w14:textId="31F2BD60" w:rsidR="00955C14" w:rsidRPr="009C47CC" w:rsidRDefault="00574073" w:rsidP="00B71C7B">
      <w:r>
        <w:t xml:space="preserve">The </w:t>
      </w:r>
      <w:r w:rsidR="00955C14">
        <w:t>Agency</w:t>
      </w:r>
      <w:r>
        <w:t xml:space="preserve"> accepting the referral</w:t>
      </w:r>
      <w:r w:rsidR="00955C14">
        <w:t xml:space="preserve"> may provide a letter to the client stating they have an appointment for assistance.  Client can take</w:t>
      </w:r>
      <w:r w:rsidR="00557DCA">
        <w:t xml:space="preserve"> this</w:t>
      </w:r>
      <w:r w:rsidR="00955C14">
        <w:t xml:space="preserve"> letter to </w:t>
      </w:r>
      <w:r>
        <w:t xml:space="preserve">their landlord and advocate for themselves, requesting the landlord </w:t>
      </w:r>
      <w:r w:rsidR="00955C14">
        <w:t>accept payment to stay in the home.</w:t>
      </w:r>
      <w:r w:rsidR="00557DCA">
        <w:t xml:space="preserve"> </w:t>
      </w:r>
    </w:p>
    <w:p w14:paraId="2249BB3E" w14:textId="7BAD4DEA" w:rsidR="00E41FF7" w:rsidRPr="00E41FF7" w:rsidRDefault="00E41FF7" w:rsidP="00E41FF7">
      <w:pPr>
        <w:rPr>
          <w:b/>
          <w:i/>
        </w:rPr>
      </w:pPr>
      <w:r w:rsidRPr="00E41FF7">
        <w:rPr>
          <w:b/>
          <w:i/>
        </w:rPr>
        <w:t xml:space="preserve">High Priority, </w:t>
      </w:r>
      <w:r>
        <w:rPr>
          <w:b/>
          <w:i/>
        </w:rPr>
        <w:t>N</w:t>
      </w:r>
      <w:r w:rsidRPr="00E41FF7">
        <w:rPr>
          <w:b/>
          <w:i/>
        </w:rPr>
        <w:t>on-</w:t>
      </w:r>
      <w:r>
        <w:rPr>
          <w:b/>
          <w:i/>
        </w:rPr>
        <w:t>U</w:t>
      </w:r>
      <w:r w:rsidRPr="00E41FF7">
        <w:rPr>
          <w:b/>
          <w:i/>
        </w:rPr>
        <w:t xml:space="preserve">rgent </w:t>
      </w:r>
      <w:r w:rsidR="00CD035D">
        <w:rPr>
          <w:b/>
          <w:i/>
        </w:rPr>
        <w:t>Cases</w:t>
      </w:r>
    </w:p>
    <w:p w14:paraId="098BBA4F" w14:textId="789BB537" w:rsidR="00E41FF7" w:rsidRDefault="00E41FF7" w:rsidP="00CD035D">
      <w:r>
        <w:t xml:space="preserve">After completing the assessment in HMIS, if client scores </w:t>
      </w:r>
      <w:r w:rsidR="00340706">
        <w:t>10</w:t>
      </w:r>
      <w:r>
        <w:t xml:space="preserve"> or </w:t>
      </w:r>
      <w:r w:rsidR="00CD035D">
        <w:t>above</w:t>
      </w:r>
      <w:r>
        <w:t xml:space="preserve">, and </w:t>
      </w:r>
      <w:r w:rsidR="00CD035D">
        <w:t>no</w:t>
      </w:r>
      <w:r>
        <w:t xml:space="preserve"> urgent need exists</w:t>
      </w:r>
      <w:r w:rsidR="00CD035D">
        <w:t>,</w:t>
      </w:r>
      <w:r>
        <w:t xml:space="preserve"> Hands of Hope staff will immediately submit a referral through HMIS </w:t>
      </w:r>
    </w:p>
    <w:p w14:paraId="50772565" w14:textId="1132F1F2" w:rsidR="00E41FF7" w:rsidRDefault="00E41FF7" w:rsidP="00360DA1">
      <w:pPr>
        <w:pStyle w:val="ListParagraph"/>
        <w:numPr>
          <w:ilvl w:val="0"/>
          <w:numId w:val="11"/>
        </w:numPr>
        <w:ind w:left="720"/>
      </w:pPr>
      <w:r>
        <w:t xml:space="preserve">If client is eligible, referrals will be made to </w:t>
      </w:r>
      <w:r>
        <w:rPr>
          <w:u w:val="single"/>
        </w:rPr>
        <w:t xml:space="preserve">a </w:t>
      </w:r>
      <w:r w:rsidR="00340706">
        <w:rPr>
          <w:u w:val="single"/>
        </w:rPr>
        <w:t xml:space="preserve">Sutter County or a </w:t>
      </w:r>
      <w:r>
        <w:rPr>
          <w:u w:val="single"/>
        </w:rPr>
        <w:t xml:space="preserve">Yuba County Program </w:t>
      </w:r>
      <w:r w:rsidRPr="009C47CC">
        <w:t xml:space="preserve">for </w:t>
      </w:r>
      <w:r>
        <w:t>Homelessness</w:t>
      </w:r>
      <w:r w:rsidRPr="009C47CC">
        <w:t xml:space="preserve"> Prevention</w:t>
      </w:r>
    </w:p>
    <w:p w14:paraId="05E2631C" w14:textId="77777777" w:rsidR="00E41FF7" w:rsidRPr="00E41FF7" w:rsidRDefault="00E41FF7" w:rsidP="00360DA1">
      <w:pPr>
        <w:pStyle w:val="ListParagraph"/>
        <w:numPr>
          <w:ilvl w:val="1"/>
          <w:numId w:val="11"/>
        </w:numPr>
        <w:ind w:left="1440"/>
        <w:rPr>
          <w:u w:val="single"/>
        </w:rPr>
      </w:pPr>
      <w:r>
        <w:t xml:space="preserve">The County Program will review the case to determine eligibility. </w:t>
      </w:r>
    </w:p>
    <w:p w14:paraId="3C102157" w14:textId="1C841935" w:rsidR="00E41FF7" w:rsidRPr="00E41FF7" w:rsidRDefault="00CD035D" w:rsidP="00360DA1">
      <w:pPr>
        <w:pStyle w:val="ListParagraph"/>
        <w:numPr>
          <w:ilvl w:val="2"/>
          <w:numId w:val="11"/>
        </w:numPr>
        <w:ind w:left="2160" w:hanging="270"/>
        <w:rPr>
          <w:u w:val="single"/>
        </w:rPr>
      </w:pPr>
      <w:r>
        <w:t xml:space="preserve">If the referral is accepted, </w:t>
      </w:r>
      <w:r w:rsidR="00E41FF7">
        <w:t>County will provide case management and conduct normal processes to ensure client maintains housing long-term.</w:t>
      </w:r>
    </w:p>
    <w:p w14:paraId="51DBC971" w14:textId="77777777" w:rsidR="00E41FF7" w:rsidRPr="00550421" w:rsidRDefault="00E41FF7" w:rsidP="00360DA1">
      <w:pPr>
        <w:pStyle w:val="ListParagraph"/>
        <w:numPr>
          <w:ilvl w:val="2"/>
          <w:numId w:val="11"/>
        </w:numPr>
        <w:ind w:left="2160" w:hanging="270"/>
        <w:rPr>
          <w:u w:val="single"/>
        </w:rPr>
      </w:pPr>
      <w:r>
        <w:t xml:space="preserve">If the referral is not accepted, County staff will make a referral to </w:t>
      </w:r>
      <w:r w:rsidRPr="00E41FF7">
        <w:rPr>
          <w:u w:val="single"/>
        </w:rPr>
        <w:t>The Salvation Army</w:t>
      </w:r>
    </w:p>
    <w:p w14:paraId="77CBCEC9" w14:textId="12C7D41C" w:rsidR="00E41FF7" w:rsidRDefault="00E41FF7" w:rsidP="00360DA1">
      <w:pPr>
        <w:pStyle w:val="ListParagraph"/>
        <w:numPr>
          <w:ilvl w:val="0"/>
          <w:numId w:val="11"/>
        </w:numPr>
        <w:ind w:left="720"/>
      </w:pPr>
      <w:r>
        <w:t xml:space="preserve">If client is not eligible for a County Program, referrals will be made to </w:t>
      </w:r>
      <w:r w:rsidRPr="00550421">
        <w:rPr>
          <w:u w:val="single"/>
        </w:rPr>
        <w:t>The Salvation Army</w:t>
      </w:r>
      <w:r>
        <w:t xml:space="preserve"> for Eviction Prevention</w:t>
      </w:r>
    </w:p>
    <w:p w14:paraId="1720F617" w14:textId="56266810" w:rsidR="00CD035D" w:rsidRPr="00CD035D" w:rsidRDefault="00CD035D" w:rsidP="00CD035D">
      <w:pPr>
        <w:rPr>
          <w:b/>
          <w:i/>
        </w:rPr>
      </w:pPr>
      <w:r w:rsidRPr="00CD035D">
        <w:rPr>
          <w:b/>
          <w:i/>
        </w:rPr>
        <w:lastRenderedPageBreak/>
        <w:t>Cases</w:t>
      </w:r>
      <w:r w:rsidR="00574073">
        <w:rPr>
          <w:b/>
          <w:i/>
        </w:rPr>
        <w:t xml:space="preserve"> Not Meeting Priority </w:t>
      </w:r>
    </w:p>
    <w:p w14:paraId="7ACFD1AB" w14:textId="7DF5FA60" w:rsidR="006A6599" w:rsidRDefault="00CD035D" w:rsidP="00294D60">
      <w:r>
        <w:t xml:space="preserve">After completing the assessment in HMIS, if client scores </w:t>
      </w:r>
      <w:r w:rsidR="008F4026">
        <w:t>9</w:t>
      </w:r>
      <w:r w:rsidR="00574073">
        <w:t xml:space="preserve"> </w:t>
      </w:r>
      <w:r>
        <w:t xml:space="preserve">or below, </w:t>
      </w:r>
      <w:r w:rsidR="006A6599">
        <w:t>conduct diversion activities such as:</w:t>
      </w:r>
    </w:p>
    <w:p w14:paraId="109F7CD2" w14:textId="76F57110" w:rsidR="006A6599" w:rsidRDefault="006A6599" w:rsidP="00B71C7B">
      <w:pPr>
        <w:pStyle w:val="ListParagraph"/>
        <w:numPr>
          <w:ilvl w:val="3"/>
          <w:numId w:val="9"/>
        </w:numPr>
        <w:ind w:left="720"/>
      </w:pPr>
      <w:r>
        <w:t>Connect with family or friends to make arrangements for shared housing</w:t>
      </w:r>
    </w:p>
    <w:p w14:paraId="40FF5D49" w14:textId="55C5A24C" w:rsidR="006A6599" w:rsidRDefault="006A6599" w:rsidP="00B71C7B">
      <w:pPr>
        <w:pStyle w:val="ListParagraph"/>
        <w:numPr>
          <w:ilvl w:val="4"/>
          <w:numId w:val="9"/>
        </w:numPr>
        <w:ind w:left="990" w:hanging="270"/>
      </w:pPr>
      <w:r>
        <w:t>Worker may have to assist with these conversations</w:t>
      </w:r>
    </w:p>
    <w:p w14:paraId="46339B38" w14:textId="77777777" w:rsidR="006A6599" w:rsidRDefault="006A6599" w:rsidP="00B71C7B">
      <w:pPr>
        <w:pStyle w:val="ListParagraph"/>
        <w:numPr>
          <w:ilvl w:val="3"/>
          <w:numId w:val="9"/>
        </w:numPr>
        <w:ind w:left="720"/>
      </w:pPr>
      <w:r>
        <w:t>If eligible or receiving CalWORKs, apply for Permanent Housing Assistance through their County of residence</w:t>
      </w:r>
      <w:r w:rsidR="00CD035D">
        <w:t xml:space="preserve"> </w:t>
      </w:r>
    </w:p>
    <w:p w14:paraId="4FDE6A7F" w14:textId="1B78738C" w:rsidR="006A6599" w:rsidRDefault="006A6599" w:rsidP="00B71C7B">
      <w:pPr>
        <w:pStyle w:val="ListParagraph"/>
        <w:numPr>
          <w:ilvl w:val="3"/>
          <w:numId w:val="9"/>
        </w:numPr>
        <w:ind w:left="720"/>
      </w:pPr>
      <w:r>
        <w:t>Contact their church, or other local churches for assistance (St. Vincent de Paul, St. Andrew, Glad Tidings, Cornerstone?)</w:t>
      </w:r>
    </w:p>
    <w:p w14:paraId="527144CB" w14:textId="77777777" w:rsidR="006A6599" w:rsidRDefault="006A6599" w:rsidP="00B71C7B">
      <w:pPr>
        <w:pStyle w:val="ListParagraph"/>
        <w:numPr>
          <w:ilvl w:val="3"/>
          <w:numId w:val="9"/>
        </w:numPr>
        <w:ind w:left="720"/>
      </w:pPr>
      <w:r>
        <w:t>If a veteran, contact Veteran’s Stand Down to ask for assistance</w:t>
      </w:r>
    </w:p>
    <w:p w14:paraId="5519213D" w14:textId="722C6A40" w:rsidR="00294D60" w:rsidRDefault="006A6599" w:rsidP="00B71C7B">
      <w:pPr>
        <w:pStyle w:val="ListParagraph"/>
        <w:numPr>
          <w:ilvl w:val="3"/>
          <w:numId w:val="9"/>
        </w:numPr>
        <w:ind w:left="720"/>
      </w:pPr>
      <w:r>
        <w:t>Connect with landlord to problem solve (i.e., make payment arrangements, work off the late rent, etc.)</w:t>
      </w:r>
    </w:p>
    <w:p w14:paraId="29FC6D6B" w14:textId="4E9EB54C" w:rsidR="00AB43CC" w:rsidRPr="00294D60" w:rsidRDefault="00AB43CC" w:rsidP="00294D60">
      <w:pPr>
        <w:rPr>
          <w:b/>
          <w:i/>
        </w:rPr>
      </w:pPr>
      <w:r w:rsidRPr="00294D60">
        <w:rPr>
          <w:b/>
          <w:i/>
        </w:rPr>
        <w:t>Closing a Prevention Project in</w:t>
      </w:r>
      <w:r w:rsidR="00360DA1">
        <w:rPr>
          <w:b/>
          <w:i/>
        </w:rPr>
        <w:t xml:space="preserve"> the</w:t>
      </w:r>
      <w:r w:rsidRPr="00294D60">
        <w:rPr>
          <w:b/>
          <w:i/>
        </w:rPr>
        <w:t xml:space="preserve"> </w:t>
      </w:r>
      <w:r w:rsidR="00360DA1">
        <w:rPr>
          <w:b/>
          <w:i/>
        </w:rPr>
        <w:t>Coordinated Entry workgroup</w:t>
      </w:r>
    </w:p>
    <w:p w14:paraId="67C17315" w14:textId="6D8D378F" w:rsidR="00AB43CC" w:rsidRPr="00360DA1" w:rsidRDefault="00360DA1" w:rsidP="00360DA1">
      <w:pPr>
        <w:pStyle w:val="ListParagraph"/>
        <w:numPr>
          <w:ilvl w:val="0"/>
          <w:numId w:val="14"/>
        </w:numPr>
        <w:rPr>
          <w:u w:val="single"/>
        </w:rPr>
      </w:pPr>
      <w:r>
        <w:t>Agencies will close the Coordinated Entry Prevention Project after they have provided a financial intervention</w:t>
      </w:r>
    </w:p>
    <w:p w14:paraId="5D996B53" w14:textId="15519FFB" w:rsidR="00360DA1" w:rsidRPr="00360DA1" w:rsidRDefault="00360DA1" w:rsidP="00360DA1">
      <w:pPr>
        <w:pStyle w:val="ListParagraph"/>
        <w:numPr>
          <w:ilvl w:val="0"/>
          <w:numId w:val="14"/>
        </w:numPr>
        <w:rPr>
          <w:u w:val="single"/>
        </w:rPr>
      </w:pPr>
      <w:r>
        <w:t>Cases will be automatically closed after 60 days of inactivity</w:t>
      </w:r>
    </w:p>
    <w:p w14:paraId="139559C7" w14:textId="77777777" w:rsidR="00360DA1" w:rsidRDefault="00360DA1" w:rsidP="00AB43CC">
      <w:pPr>
        <w:rPr>
          <w:noProof/>
          <w:u w:val="single"/>
        </w:rPr>
      </w:pPr>
    </w:p>
    <w:p w14:paraId="6B7217A0" w14:textId="63B926DB" w:rsidR="00AB43CC" w:rsidRPr="00360DA1" w:rsidRDefault="00360DA1" w:rsidP="00AB43CC">
      <w:pPr>
        <w:rPr>
          <w:b/>
          <w:i/>
          <w:noProof/>
        </w:rPr>
      </w:pPr>
      <w:r>
        <w:rPr>
          <w:b/>
          <w:i/>
          <w:noProof/>
        </w:rPr>
        <w:t xml:space="preserve">Prevention or Homeless: </w:t>
      </w:r>
      <w:r w:rsidR="00AB43CC" w:rsidRPr="00360DA1">
        <w:rPr>
          <w:b/>
          <w:i/>
          <w:noProof/>
        </w:rPr>
        <w:t>D</w:t>
      </w:r>
      <w:r>
        <w:rPr>
          <w:b/>
          <w:i/>
          <w:noProof/>
        </w:rPr>
        <w:t>ecision Tree</w:t>
      </w:r>
    </w:p>
    <w:p w14:paraId="17C89CF6" w14:textId="1D32E510" w:rsidR="00AB43CC" w:rsidRDefault="00AB43CC" w:rsidP="00AB43CC">
      <w:pPr>
        <w:rPr>
          <w:noProof/>
          <w:u w:val="single"/>
        </w:rPr>
      </w:pPr>
    </w:p>
    <w:tbl>
      <w:tblPr>
        <w:tblStyle w:val="TableGrid"/>
        <w:tblW w:w="0" w:type="auto"/>
        <w:tblLook w:val="04A0" w:firstRow="1" w:lastRow="0" w:firstColumn="1" w:lastColumn="0" w:noHBand="0" w:noVBand="1"/>
      </w:tblPr>
      <w:tblGrid>
        <w:gridCol w:w="2337"/>
        <w:gridCol w:w="2337"/>
        <w:gridCol w:w="2338"/>
        <w:gridCol w:w="2338"/>
      </w:tblGrid>
      <w:tr w:rsidR="00744555" w14:paraId="3FA41258" w14:textId="77777777" w:rsidTr="00744555">
        <w:tc>
          <w:tcPr>
            <w:tcW w:w="2337" w:type="dxa"/>
            <w:vMerge w:val="restart"/>
            <w:shd w:val="clear" w:color="auto" w:fill="DEEAF6" w:themeFill="accent1" w:themeFillTint="33"/>
          </w:tcPr>
          <w:p w14:paraId="15963C47" w14:textId="5152C690" w:rsidR="00744555" w:rsidRDefault="00744555" w:rsidP="000372DE">
            <w:pPr>
              <w:jc w:val="center"/>
            </w:pPr>
            <w:r w:rsidRPr="000372DE">
              <w:rPr>
                <w:sz w:val="28"/>
              </w:rPr>
              <w:t>Homeless</w:t>
            </w:r>
          </w:p>
        </w:tc>
        <w:tc>
          <w:tcPr>
            <w:tcW w:w="4675" w:type="dxa"/>
            <w:gridSpan w:val="2"/>
            <w:shd w:val="clear" w:color="auto" w:fill="E2EFD9" w:themeFill="accent6" w:themeFillTint="33"/>
            <w:vAlign w:val="center"/>
          </w:tcPr>
          <w:p w14:paraId="0B88F68F" w14:textId="3C5366C6" w:rsidR="00744555" w:rsidRDefault="00744555" w:rsidP="00AB43CC">
            <w:pPr>
              <w:jc w:val="center"/>
            </w:pPr>
            <w:r>
              <w:t>Nighttime Residence</w:t>
            </w:r>
          </w:p>
        </w:tc>
        <w:tc>
          <w:tcPr>
            <w:tcW w:w="2338" w:type="dxa"/>
            <w:vMerge w:val="restart"/>
            <w:shd w:val="clear" w:color="auto" w:fill="FBE4D5" w:themeFill="accent2" w:themeFillTint="33"/>
          </w:tcPr>
          <w:p w14:paraId="20678D4A" w14:textId="3F846B5C" w:rsidR="00744555" w:rsidRDefault="00744555" w:rsidP="000372DE">
            <w:pPr>
              <w:jc w:val="center"/>
            </w:pPr>
            <w:r>
              <w:t xml:space="preserve">At </w:t>
            </w:r>
            <w:r w:rsidRPr="000372DE">
              <w:rPr>
                <w:sz w:val="28"/>
              </w:rPr>
              <w:t>risk of homelessness – conduct prevention assess</w:t>
            </w:r>
            <w:r>
              <w:t>ment</w:t>
            </w:r>
          </w:p>
        </w:tc>
      </w:tr>
      <w:tr w:rsidR="00744555" w14:paraId="6F16E676" w14:textId="77777777" w:rsidTr="00744555">
        <w:tc>
          <w:tcPr>
            <w:tcW w:w="2337" w:type="dxa"/>
            <w:vMerge/>
            <w:shd w:val="clear" w:color="auto" w:fill="DEEAF6" w:themeFill="accent1" w:themeFillTint="33"/>
          </w:tcPr>
          <w:p w14:paraId="1460983B" w14:textId="77777777" w:rsidR="00744555" w:rsidRDefault="00744555" w:rsidP="00AB43CC"/>
        </w:tc>
        <w:tc>
          <w:tcPr>
            <w:tcW w:w="2337" w:type="dxa"/>
            <w:shd w:val="clear" w:color="auto" w:fill="DEEAF6" w:themeFill="accent1" w:themeFillTint="33"/>
          </w:tcPr>
          <w:p w14:paraId="58BCD63D" w14:textId="13F79D5B" w:rsidR="00744555" w:rsidRDefault="00744555" w:rsidP="000372DE">
            <w:pPr>
              <w:jc w:val="center"/>
            </w:pPr>
            <w:r>
              <w:t>Nighttime residence missing one or more of the following traits: fixed, regular, and adequate</w:t>
            </w:r>
          </w:p>
        </w:tc>
        <w:tc>
          <w:tcPr>
            <w:tcW w:w="2338" w:type="dxa"/>
            <w:shd w:val="clear" w:color="auto" w:fill="FBE4D5" w:themeFill="accent2" w:themeFillTint="33"/>
          </w:tcPr>
          <w:p w14:paraId="5F73D4F3" w14:textId="42579A2D" w:rsidR="00744555" w:rsidRDefault="00744555" w:rsidP="000372DE">
            <w:pPr>
              <w:jc w:val="center"/>
            </w:pPr>
            <w:r>
              <w:t>Fixed, regular, and adequate; Living in the same place each night in a safe and sufficient space</w:t>
            </w:r>
          </w:p>
        </w:tc>
        <w:tc>
          <w:tcPr>
            <w:tcW w:w="2338" w:type="dxa"/>
            <w:vMerge/>
            <w:shd w:val="clear" w:color="auto" w:fill="FBE4D5" w:themeFill="accent2" w:themeFillTint="33"/>
          </w:tcPr>
          <w:p w14:paraId="79BD529A" w14:textId="77777777" w:rsidR="00744555" w:rsidRDefault="00744555" w:rsidP="00AB43CC"/>
        </w:tc>
      </w:tr>
      <w:tr w:rsidR="00744555" w14:paraId="196487BE" w14:textId="77777777" w:rsidTr="00744555">
        <w:tc>
          <w:tcPr>
            <w:tcW w:w="2337" w:type="dxa"/>
            <w:vMerge/>
            <w:shd w:val="clear" w:color="auto" w:fill="DEEAF6" w:themeFill="accent1" w:themeFillTint="33"/>
          </w:tcPr>
          <w:p w14:paraId="5C943B45" w14:textId="77777777" w:rsidR="00744555" w:rsidRDefault="00744555" w:rsidP="00AB43CC"/>
        </w:tc>
        <w:tc>
          <w:tcPr>
            <w:tcW w:w="4675" w:type="dxa"/>
            <w:gridSpan w:val="2"/>
            <w:shd w:val="clear" w:color="auto" w:fill="E2EFD9" w:themeFill="accent6" w:themeFillTint="33"/>
            <w:vAlign w:val="center"/>
          </w:tcPr>
          <w:p w14:paraId="0B25BC81" w14:textId="5B0D9E3D" w:rsidR="00744555" w:rsidRDefault="00744555" w:rsidP="000372DE">
            <w:pPr>
              <w:jc w:val="center"/>
            </w:pPr>
            <w:r>
              <w:t>Doubled Up</w:t>
            </w:r>
          </w:p>
        </w:tc>
        <w:tc>
          <w:tcPr>
            <w:tcW w:w="2338" w:type="dxa"/>
            <w:vMerge/>
            <w:shd w:val="clear" w:color="auto" w:fill="FBE4D5" w:themeFill="accent2" w:themeFillTint="33"/>
          </w:tcPr>
          <w:p w14:paraId="41BD61FA" w14:textId="77777777" w:rsidR="00744555" w:rsidRDefault="00744555" w:rsidP="00AB43CC"/>
        </w:tc>
      </w:tr>
      <w:tr w:rsidR="00744555" w14:paraId="11CD70BA" w14:textId="77777777" w:rsidTr="00744555">
        <w:tc>
          <w:tcPr>
            <w:tcW w:w="2337" w:type="dxa"/>
            <w:vMerge/>
            <w:shd w:val="clear" w:color="auto" w:fill="DEEAF6" w:themeFill="accent1" w:themeFillTint="33"/>
          </w:tcPr>
          <w:p w14:paraId="40B84849" w14:textId="77777777" w:rsidR="00744555" w:rsidRDefault="00744555" w:rsidP="00AB43CC"/>
        </w:tc>
        <w:tc>
          <w:tcPr>
            <w:tcW w:w="2337" w:type="dxa"/>
            <w:shd w:val="clear" w:color="auto" w:fill="DEEAF6" w:themeFill="accent1" w:themeFillTint="33"/>
          </w:tcPr>
          <w:p w14:paraId="78B9DE33" w14:textId="7E5A2AFB" w:rsidR="00744555" w:rsidRDefault="00744555" w:rsidP="000372DE">
            <w:pPr>
              <w:jc w:val="center"/>
            </w:pPr>
            <w:r>
              <w:t>Due to loss of housing, economic hardship, or a similar reason</w:t>
            </w:r>
          </w:p>
        </w:tc>
        <w:tc>
          <w:tcPr>
            <w:tcW w:w="2338" w:type="dxa"/>
            <w:shd w:val="clear" w:color="auto" w:fill="FBE4D5" w:themeFill="accent2" w:themeFillTint="33"/>
          </w:tcPr>
          <w:p w14:paraId="0D8E47E3" w14:textId="450E6622" w:rsidR="00744555" w:rsidRDefault="00744555" w:rsidP="000372DE">
            <w:pPr>
              <w:jc w:val="center"/>
            </w:pPr>
            <w:r>
              <w:t>Mutual decision made to live together for mutual benefit</w:t>
            </w:r>
          </w:p>
        </w:tc>
        <w:tc>
          <w:tcPr>
            <w:tcW w:w="2338" w:type="dxa"/>
            <w:vMerge/>
            <w:shd w:val="clear" w:color="auto" w:fill="FBE4D5" w:themeFill="accent2" w:themeFillTint="33"/>
          </w:tcPr>
          <w:p w14:paraId="26687E99" w14:textId="77777777" w:rsidR="00744555" w:rsidRDefault="00744555" w:rsidP="00AB43CC"/>
        </w:tc>
      </w:tr>
      <w:tr w:rsidR="00744555" w14:paraId="06ED18D3" w14:textId="77777777" w:rsidTr="00744555">
        <w:tc>
          <w:tcPr>
            <w:tcW w:w="2337" w:type="dxa"/>
            <w:vMerge/>
            <w:shd w:val="clear" w:color="auto" w:fill="DEEAF6" w:themeFill="accent1" w:themeFillTint="33"/>
          </w:tcPr>
          <w:p w14:paraId="116A4B71" w14:textId="77777777" w:rsidR="00744555" w:rsidRDefault="00744555" w:rsidP="00AB43CC"/>
        </w:tc>
        <w:tc>
          <w:tcPr>
            <w:tcW w:w="2337" w:type="dxa"/>
            <w:shd w:val="clear" w:color="auto" w:fill="DEEAF6" w:themeFill="accent1" w:themeFillTint="33"/>
          </w:tcPr>
          <w:p w14:paraId="35DCE68C" w14:textId="2EB5F588" w:rsidR="00744555" w:rsidRDefault="00744555" w:rsidP="000372DE">
            <w:pPr>
              <w:jc w:val="center"/>
            </w:pPr>
            <w:r>
              <w:t>No written lease/rent agreement</w:t>
            </w:r>
          </w:p>
        </w:tc>
        <w:tc>
          <w:tcPr>
            <w:tcW w:w="2338" w:type="dxa"/>
            <w:shd w:val="clear" w:color="auto" w:fill="FBE4D5" w:themeFill="accent2" w:themeFillTint="33"/>
          </w:tcPr>
          <w:p w14:paraId="7685610C" w14:textId="198DC9A4" w:rsidR="00744555" w:rsidRDefault="00744555" w:rsidP="000372DE">
            <w:pPr>
              <w:jc w:val="center"/>
            </w:pPr>
            <w:r>
              <w:t>Written lease/rent agreement</w:t>
            </w:r>
          </w:p>
        </w:tc>
        <w:tc>
          <w:tcPr>
            <w:tcW w:w="2338" w:type="dxa"/>
            <w:vMerge/>
            <w:shd w:val="clear" w:color="auto" w:fill="FBE4D5" w:themeFill="accent2" w:themeFillTint="33"/>
          </w:tcPr>
          <w:p w14:paraId="75E9018B" w14:textId="77777777" w:rsidR="00744555" w:rsidRDefault="00744555" w:rsidP="00AB43CC"/>
        </w:tc>
      </w:tr>
      <w:tr w:rsidR="00744555" w14:paraId="54215E05" w14:textId="77777777" w:rsidTr="00744555">
        <w:tc>
          <w:tcPr>
            <w:tcW w:w="2337" w:type="dxa"/>
            <w:vMerge/>
            <w:shd w:val="clear" w:color="auto" w:fill="DEEAF6" w:themeFill="accent1" w:themeFillTint="33"/>
          </w:tcPr>
          <w:p w14:paraId="50DE1CB6" w14:textId="77777777" w:rsidR="00744555" w:rsidRDefault="00744555" w:rsidP="00AB43CC"/>
        </w:tc>
        <w:tc>
          <w:tcPr>
            <w:tcW w:w="4675" w:type="dxa"/>
            <w:gridSpan w:val="2"/>
            <w:shd w:val="clear" w:color="auto" w:fill="E2EFD9" w:themeFill="accent6" w:themeFillTint="33"/>
            <w:vAlign w:val="center"/>
          </w:tcPr>
          <w:p w14:paraId="497A72AB" w14:textId="44768AA5" w:rsidR="00744555" w:rsidRDefault="00744555" w:rsidP="000372DE">
            <w:pPr>
              <w:jc w:val="center"/>
            </w:pPr>
            <w:r>
              <w:t>Hotels, Motels</w:t>
            </w:r>
          </w:p>
        </w:tc>
        <w:tc>
          <w:tcPr>
            <w:tcW w:w="2338" w:type="dxa"/>
            <w:vMerge/>
            <w:shd w:val="clear" w:color="auto" w:fill="FBE4D5" w:themeFill="accent2" w:themeFillTint="33"/>
          </w:tcPr>
          <w:p w14:paraId="798DE89A" w14:textId="77777777" w:rsidR="00744555" w:rsidRDefault="00744555" w:rsidP="00AB43CC"/>
        </w:tc>
      </w:tr>
      <w:tr w:rsidR="00744555" w14:paraId="2584CE93" w14:textId="77777777" w:rsidTr="00744555">
        <w:tc>
          <w:tcPr>
            <w:tcW w:w="2337" w:type="dxa"/>
            <w:vMerge/>
            <w:shd w:val="clear" w:color="auto" w:fill="DEEAF6" w:themeFill="accent1" w:themeFillTint="33"/>
          </w:tcPr>
          <w:p w14:paraId="3AABED4C" w14:textId="77777777" w:rsidR="00744555" w:rsidRDefault="00744555" w:rsidP="00AB43CC"/>
        </w:tc>
        <w:tc>
          <w:tcPr>
            <w:tcW w:w="2337" w:type="dxa"/>
            <w:shd w:val="clear" w:color="auto" w:fill="DEEAF6" w:themeFill="accent1" w:themeFillTint="33"/>
          </w:tcPr>
          <w:p w14:paraId="70BB3CE5" w14:textId="6659FE2D" w:rsidR="00744555" w:rsidRDefault="00744555" w:rsidP="000372DE">
            <w:pPr>
              <w:jc w:val="center"/>
            </w:pPr>
            <w:r>
              <w:t>Paid for by someone else</w:t>
            </w:r>
          </w:p>
        </w:tc>
        <w:tc>
          <w:tcPr>
            <w:tcW w:w="2338" w:type="dxa"/>
            <w:shd w:val="clear" w:color="auto" w:fill="FBE4D5" w:themeFill="accent2" w:themeFillTint="33"/>
          </w:tcPr>
          <w:p w14:paraId="5A1C178C" w14:textId="60DA8DD0" w:rsidR="00744555" w:rsidRDefault="00744555" w:rsidP="000372DE">
            <w:pPr>
              <w:jc w:val="center"/>
            </w:pPr>
            <w:r>
              <w:t>Paid for by client</w:t>
            </w:r>
          </w:p>
        </w:tc>
        <w:tc>
          <w:tcPr>
            <w:tcW w:w="2338" w:type="dxa"/>
            <w:vMerge/>
            <w:shd w:val="clear" w:color="auto" w:fill="FBE4D5" w:themeFill="accent2" w:themeFillTint="33"/>
          </w:tcPr>
          <w:p w14:paraId="02C04788" w14:textId="77777777" w:rsidR="00744555" w:rsidRDefault="00744555" w:rsidP="00AB43CC"/>
        </w:tc>
      </w:tr>
      <w:tr w:rsidR="00744555" w14:paraId="55C9CE4E" w14:textId="77777777" w:rsidTr="00744555">
        <w:tc>
          <w:tcPr>
            <w:tcW w:w="2337" w:type="dxa"/>
            <w:vMerge/>
            <w:shd w:val="clear" w:color="auto" w:fill="DEEAF6" w:themeFill="accent1" w:themeFillTint="33"/>
          </w:tcPr>
          <w:p w14:paraId="50FA9413" w14:textId="77777777" w:rsidR="00744555" w:rsidRDefault="00744555" w:rsidP="00AB43CC"/>
        </w:tc>
        <w:tc>
          <w:tcPr>
            <w:tcW w:w="4675" w:type="dxa"/>
            <w:gridSpan w:val="2"/>
            <w:shd w:val="clear" w:color="auto" w:fill="E2EFD9" w:themeFill="accent6" w:themeFillTint="33"/>
            <w:vAlign w:val="center"/>
          </w:tcPr>
          <w:p w14:paraId="0F8A4B8F" w14:textId="3B7F4BE4" w:rsidR="00744555" w:rsidRDefault="00744555" w:rsidP="000372DE">
            <w:pPr>
              <w:jc w:val="center"/>
            </w:pPr>
            <w:r>
              <w:t>Institutions</w:t>
            </w:r>
          </w:p>
          <w:p w14:paraId="43767244" w14:textId="3C2917FE" w:rsidR="00744555" w:rsidRDefault="00744555" w:rsidP="000372DE">
            <w:pPr>
              <w:jc w:val="center"/>
            </w:pPr>
            <w:r>
              <w:t>(on the night of discharge)</w:t>
            </w:r>
          </w:p>
        </w:tc>
        <w:tc>
          <w:tcPr>
            <w:tcW w:w="2338" w:type="dxa"/>
            <w:vMerge/>
            <w:shd w:val="clear" w:color="auto" w:fill="FBE4D5" w:themeFill="accent2" w:themeFillTint="33"/>
          </w:tcPr>
          <w:p w14:paraId="320A7225" w14:textId="77777777" w:rsidR="00744555" w:rsidRDefault="00744555" w:rsidP="00AB43CC"/>
        </w:tc>
      </w:tr>
      <w:tr w:rsidR="00744555" w14:paraId="11109E64" w14:textId="77777777" w:rsidTr="00744555">
        <w:tc>
          <w:tcPr>
            <w:tcW w:w="2337" w:type="dxa"/>
            <w:vMerge/>
            <w:shd w:val="clear" w:color="auto" w:fill="DEEAF6" w:themeFill="accent1" w:themeFillTint="33"/>
          </w:tcPr>
          <w:p w14:paraId="371872A6" w14:textId="77777777" w:rsidR="00744555" w:rsidRDefault="00744555" w:rsidP="00AB43CC"/>
        </w:tc>
        <w:tc>
          <w:tcPr>
            <w:tcW w:w="2337" w:type="dxa"/>
            <w:shd w:val="clear" w:color="auto" w:fill="DEEAF6" w:themeFill="accent1" w:themeFillTint="33"/>
            <w:vAlign w:val="center"/>
          </w:tcPr>
          <w:p w14:paraId="301F3297" w14:textId="1D8F2FD0" w:rsidR="00744555" w:rsidRDefault="00744555" w:rsidP="000372DE">
            <w:pPr>
              <w:jc w:val="center"/>
            </w:pPr>
            <w:r>
              <w:t>Client stayed there</w:t>
            </w:r>
            <w:r w:rsidRPr="000A5B4C">
              <w:t xml:space="preserve"> for 90 days or less </w:t>
            </w:r>
            <w:r w:rsidRPr="000372DE">
              <w:rPr>
                <w:b/>
                <w:i/>
              </w:rPr>
              <w:lastRenderedPageBreak/>
              <w:t>and</w:t>
            </w:r>
            <w:r w:rsidRPr="000A5B4C">
              <w:t xml:space="preserve"> immediately before entering that institution resided in an emergency shelter or place not meant for human habitation</w:t>
            </w:r>
          </w:p>
        </w:tc>
        <w:tc>
          <w:tcPr>
            <w:tcW w:w="2338" w:type="dxa"/>
            <w:shd w:val="clear" w:color="auto" w:fill="FBE4D5" w:themeFill="accent2" w:themeFillTint="33"/>
            <w:vAlign w:val="center"/>
          </w:tcPr>
          <w:p w14:paraId="3FF316CF" w14:textId="433DFB6E" w:rsidR="00744555" w:rsidRDefault="00744555" w:rsidP="000372DE">
            <w:pPr>
              <w:jc w:val="center"/>
            </w:pPr>
            <w:r>
              <w:lastRenderedPageBreak/>
              <w:t xml:space="preserve">Client stayed there more than 90 days </w:t>
            </w:r>
            <w:r>
              <w:lastRenderedPageBreak/>
              <w:t>or was not in a homeless situation immediately prior to entry</w:t>
            </w:r>
          </w:p>
        </w:tc>
        <w:tc>
          <w:tcPr>
            <w:tcW w:w="2338" w:type="dxa"/>
            <w:vMerge/>
            <w:shd w:val="clear" w:color="auto" w:fill="FBE4D5" w:themeFill="accent2" w:themeFillTint="33"/>
          </w:tcPr>
          <w:p w14:paraId="6BBEC822" w14:textId="77777777" w:rsidR="00744555" w:rsidRDefault="00744555" w:rsidP="00AB43CC"/>
        </w:tc>
      </w:tr>
      <w:tr w:rsidR="00744555" w14:paraId="6CEF2B01" w14:textId="77777777" w:rsidTr="00744555">
        <w:tc>
          <w:tcPr>
            <w:tcW w:w="2337" w:type="dxa"/>
            <w:vMerge/>
            <w:shd w:val="clear" w:color="auto" w:fill="DEEAF6" w:themeFill="accent1" w:themeFillTint="33"/>
          </w:tcPr>
          <w:p w14:paraId="43141B94" w14:textId="77777777" w:rsidR="00744555" w:rsidRDefault="00744555" w:rsidP="00AB43CC"/>
        </w:tc>
        <w:tc>
          <w:tcPr>
            <w:tcW w:w="4675" w:type="dxa"/>
            <w:gridSpan w:val="2"/>
            <w:shd w:val="clear" w:color="auto" w:fill="E2EFD9" w:themeFill="accent6" w:themeFillTint="33"/>
            <w:vAlign w:val="center"/>
          </w:tcPr>
          <w:p w14:paraId="07DCBB4A" w14:textId="77777777" w:rsidR="00744555" w:rsidRDefault="00744555" w:rsidP="000372DE">
            <w:pPr>
              <w:jc w:val="center"/>
              <w:rPr>
                <w:shd w:val="clear" w:color="auto" w:fill="E2EFD9" w:themeFill="accent6" w:themeFillTint="33"/>
              </w:rPr>
            </w:pPr>
            <w:r>
              <w:t xml:space="preserve">Time </w:t>
            </w:r>
            <w:r w:rsidRPr="00744555">
              <w:rPr>
                <w:shd w:val="clear" w:color="auto" w:fill="E2EFD9" w:themeFill="accent6" w:themeFillTint="33"/>
              </w:rPr>
              <w:t xml:space="preserve">remaining on </w:t>
            </w:r>
          </w:p>
          <w:p w14:paraId="52DEDBA0" w14:textId="4CB6475E" w:rsidR="00744555" w:rsidRDefault="00744555" w:rsidP="000372DE">
            <w:pPr>
              <w:jc w:val="center"/>
            </w:pPr>
            <w:r w:rsidRPr="00744555">
              <w:rPr>
                <w:shd w:val="clear" w:color="auto" w:fill="E2EFD9" w:themeFill="accent6" w:themeFillTint="33"/>
              </w:rPr>
              <w:t>Notice to Vacate</w:t>
            </w:r>
          </w:p>
        </w:tc>
        <w:tc>
          <w:tcPr>
            <w:tcW w:w="2338" w:type="dxa"/>
            <w:vMerge/>
            <w:shd w:val="clear" w:color="auto" w:fill="FBE4D5" w:themeFill="accent2" w:themeFillTint="33"/>
          </w:tcPr>
          <w:p w14:paraId="4A9C6583" w14:textId="77777777" w:rsidR="00744555" w:rsidRDefault="00744555" w:rsidP="00AB43CC"/>
        </w:tc>
      </w:tr>
      <w:tr w:rsidR="00744555" w14:paraId="3C41D647" w14:textId="77777777" w:rsidTr="00744555">
        <w:tc>
          <w:tcPr>
            <w:tcW w:w="2337" w:type="dxa"/>
            <w:vMerge/>
            <w:shd w:val="clear" w:color="auto" w:fill="DEEAF6" w:themeFill="accent1" w:themeFillTint="33"/>
          </w:tcPr>
          <w:p w14:paraId="1FE237D3" w14:textId="77777777" w:rsidR="00744555" w:rsidRDefault="00744555" w:rsidP="00AB43CC"/>
        </w:tc>
        <w:tc>
          <w:tcPr>
            <w:tcW w:w="2337" w:type="dxa"/>
            <w:shd w:val="clear" w:color="auto" w:fill="DEEAF6" w:themeFill="accent1" w:themeFillTint="33"/>
            <w:vAlign w:val="center"/>
          </w:tcPr>
          <w:p w14:paraId="4484536C" w14:textId="497D446F" w:rsidR="00744555" w:rsidRDefault="00744555" w:rsidP="000372DE">
            <w:pPr>
              <w:jc w:val="center"/>
            </w:pPr>
            <w:r>
              <w:t>14 days or less</w:t>
            </w:r>
            <w:r w:rsidR="00294D60">
              <w:t xml:space="preserve"> and landlord is unwilling to accept payment to remain in unit</w:t>
            </w:r>
          </w:p>
        </w:tc>
        <w:tc>
          <w:tcPr>
            <w:tcW w:w="2338" w:type="dxa"/>
            <w:shd w:val="clear" w:color="auto" w:fill="FBE4D5" w:themeFill="accent2" w:themeFillTint="33"/>
            <w:vAlign w:val="center"/>
          </w:tcPr>
          <w:p w14:paraId="238131CC" w14:textId="62FEE205" w:rsidR="00744555" w:rsidRDefault="00294D60" w:rsidP="000372DE">
            <w:pPr>
              <w:jc w:val="center"/>
            </w:pPr>
            <w:r>
              <w:t>14 days or less and landlord is willing to accept payment to remain in unit</w:t>
            </w:r>
          </w:p>
        </w:tc>
        <w:tc>
          <w:tcPr>
            <w:tcW w:w="2338" w:type="dxa"/>
            <w:vMerge/>
            <w:shd w:val="clear" w:color="auto" w:fill="FBE4D5" w:themeFill="accent2" w:themeFillTint="33"/>
          </w:tcPr>
          <w:p w14:paraId="2E60379A" w14:textId="77777777" w:rsidR="00744555" w:rsidRDefault="00744555" w:rsidP="00AB43CC"/>
        </w:tc>
      </w:tr>
      <w:tr w:rsidR="00744555" w14:paraId="4989CE0D" w14:textId="77777777" w:rsidTr="00744555">
        <w:tc>
          <w:tcPr>
            <w:tcW w:w="2337" w:type="dxa"/>
            <w:vMerge/>
            <w:shd w:val="clear" w:color="auto" w:fill="DEEAF6" w:themeFill="accent1" w:themeFillTint="33"/>
          </w:tcPr>
          <w:p w14:paraId="266EBAEC" w14:textId="77777777" w:rsidR="00744555" w:rsidRDefault="00744555" w:rsidP="00AB43CC"/>
        </w:tc>
        <w:tc>
          <w:tcPr>
            <w:tcW w:w="2337" w:type="dxa"/>
            <w:shd w:val="clear" w:color="auto" w:fill="DEEAF6" w:themeFill="accent1" w:themeFillTint="33"/>
            <w:vAlign w:val="center"/>
          </w:tcPr>
          <w:p w14:paraId="0105B19A" w14:textId="29976021" w:rsidR="00744555" w:rsidRDefault="00744555" w:rsidP="000372DE">
            <w:pPr>
              <w:jc w:val="center"/>
            </w:pPr>
            <w:r>
              <w:t>No subsequent housing has been identified</w:t>
            </w:r>
          </w:p>
        </w:tc>
        <w:tc>
          <w:tcPr>
            <w:tcW w:w="2338" w:type="dxa"/>
            <w:shd w:val="clear" w:color="auto" w:fill="FBE4D5" w:themeFill="accent2" w:themeFillTint="33"/>
            <w:vAlign w:val="center"/>
          </w:tcPr>
          <w:p w14:paraId="527B0775" w14:textId="564F75C8" w:rsidR="00744555" w:rsidRDefault="00744555" w:rsidP="000372DE">
            <w:pPr>
              <w:jc w:val="center"/>
            </w:pPr>
            <w:r>
              <w:t>Subsequent housing is identified</w:t>
            </w:r>
          </w:p>
        </w:tc>
        <w:tc>
          <w:tcPr>
            <w:tcW w:w="2338" w:type="dxa"/>
            <w:vMerge/>
            <w:shd w:val="clear" w:color="auto" w:fill="FBE4D5" w:themeFill="accent2" w:themeFillTint="33"/>
          </w:tcPr>
          <w:p w14:paraId="54D9FB48" w14:textId="77777777" w:rsidR="00744555" w:rsidRDefault="00744555" w:rsidP="00AB43CC"/>
        </w:tc>
      </w:tr>
    </w:tbl>
    <w:p w14:paraId="157536D9" w14:textId="77777777" w:rsidR="00AB43CC" w:rsidRPr="00AB43CC" w:rsidRDefault="00AB43CC" w:rsidP="00AB43CC"/>
    <w:sectPr w:rsidR="00AB43CC" w:rsidRPr="00AB43CC" w:rsidSect="00B56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5D0"/>
    <w:multiLevelType w:val="hybridMultilevel"/>
    <w:tmpl w:val="65B68FA8"/>
    <w:lvl w:ilvl="0" w:tplc="A2A2D2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E94"/>
    <w:multiLevelType w:val="hybridMultilevel"/>
    <w:tmpl w:val="82AC5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AE5"/>
    <w:multiLevelType w:val="hybridMultilevel"/>
    <w:tmpl w:val="836A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443D"/>
    <w:multiLevelType w:val="hybridMultilevel"/>
    <w:tmpl w:val="65B68FA8"/>
    <w:lvl w:ilvl="0" w:tplc="A2A2D2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2C7050"/>
    <w:multiLevelType w:val="hybridMultilevel"/>
    <w:tmpl w:val="B94ABE28"/>
    <w:lvl w:ilvl="0" w:tplc="8B385582">
      <w:start w:val="1"/>
      <w:numFmt w:val="lowerRoman"/>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231E6"/>
    <w:multiLevelType w:val="hybridMultilevel"/>
    <w:tmpl w:val="FE16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04417"/>
    <w:multiLevelType w:val="hybridMultilevel"/>
    <w:tmpl w:val="65B68FA8"/>
    <w:lvl w:ilvl="0" w:tplc="A2A2D2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61EA"/>
    <w:multiLevelType w:val="hybridMultilevel"/>
    <w:tmpl w:val="2DB6FBAA"/>
    <w:lvl w:ilvl="0" w:tplc="A28EA8FC">
      <w:start w:val="1"/>
      <w:numFmt w:val="decimal"/>
      <w:lvlText w:val="(%1)"/>
      <w:lvlJc w:val="left"/>
      <w:pPr>
        <w:ind w:left="450" w:hanging="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124E7"/>
    <w:multiLevelType w:val="hybridMultilevel"/>
    <w:tmpl w:val="819A8AB8"/>
    <w:lvl w:ilvl="0" w:tplc="A2A2D2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42747"/>
    <w:multiLevelType w:val="hybridMultilevel"/>
    <w:tmpl w:val="1F288E58"/>
    <w:lvl w:ilvl="0" w:tplc="2850D392">
      <w:start w:val="1"/>
      <w:numFmt w:val="lowerRoman"/>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86FB4"/>
    <w:multiLevelType w:val="hybridMultilevel"/>
    <w:tmpl w:val="65B68FA8"/>
    <w:lvl w:ilvl="0" w:tplc="A2A2D2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81476"/>
    <w:multiLevelType w:val="hybridMultilevel"/>
    <w:tmpl w:val="5EC05E6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A670D4F"/>
    <w:multiLevelType w:val="hybridMultilevel"/>
    <w:tmpl w:val="61AA55E2"/>
    <w:lvl w:ilvl="0" w:tplc="0409001B">
      <w:start w:val="1"/>
      <w:numFmt w:val="lowerRoman"/>
      <w:lvlText w:val="%1."/>
      <w:lvlJc w:val="right"/>
      <w:pPr>
        <w:ind w:left="2160" w:firstLine="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4F01EC"/>
    <w:multiLevelType w:val="hybridMultilevel"/>
    <w:tmpl w:val="B6849252"/>
    <w:lvl w:ilvl="0" w:tplc="BABEA9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322421C">
      <w:start w:val="1"/>
      <w:numFmt w:val="lowerRoman"/>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72824"/>
    <w:multiLevelType w:val="hybridMultilevel"/>
    <w:tmpl w:val="65B68FA8"/>
    <w:lvl w:ilvl="0" w:tplc="A2A2D2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3518254">
    <w:abstractNumId w:val="5"/>
  </w:num>
  <w:num w:numId="2" w16cid:durableId="1462917221">
    <w:abstractNumId w:val="13"/>
  </w:num>
  <w:num w:numId="3" w16cid:durableId="511803076">
    <w:abstractNumId w:val="4"/>
  </w:num>
  <w:num w:numId="4" w16cid:durableId="1698580014">
    <w:abstractNumId w:val="9"/>
  </w:num>
  <w:num w:numId="5" w16cid:durableId="1477800495">
    <w:abstractNumId w:val="11"/>
  </w:num>
  <w:num w:numId="6" w16cid:durableId="1679844761">
    <w:abstractNumId w:val="7"/>
  </w:num>
  <w:num w:numId="7" w16cid:durableId="871770871">
    <w:abstractNumId w:val="12"/>
  </w:num>
  <w:num w:numId="8" w16cid:durableId="1098213888">
    <w:abstractNumId w:val="0"/>
  </w:num>
  <w:num w:numId="9" w16cid:durableId="1261404006">
    <w:abstractNumId w:val="8"/>
  </w:num>
  <w:num w:numId="10" w16cid:durableId="429619910">
    <w:abstractNumId w:val="6"/>
  </w:num>
  <w:num w:numId="11" w16cid:durableId="1148786357">
    <w:abstractNumId w:val="14"/>
  </w:num>
  <w:num w:numId="12" w16cid:durableId="30040136">
    <w:abstractNumId w:val="10"/>
  </w:num>
  <w:num w:numId="13" w16cid:durableId="761680539">
    <w:abstractNumId w:val="3"/>
  </w:num>
  <w:num w:numId="14" w16cid:durableId="1292662701">
    <w:abstractNumId w:val="2"/>
  </w:num>
  <w:num w:numId="15" w16cid:durableId="1700348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35"/>
    <w:rsid w:val="000372DE"/>
    <w:rsid w:val="0006277C"/>
    <w:rsid w:val="000A5B4C"/>
    <w:rsid w:val="00207A34"/>
    <w:rsid w:val="0027517B"/>
    <w:rsid w:val="00276439"/>
    <w:rsid w:val="00294D60"/>
    <w:rsid w:val="00340706"/>
    <w:rsid w:val="00360DA1"/>
    <w:rsid w:val="00380A95"/>
    <w:rsid w:val="003931D4"/>
    <w:rsid w:val="0043684B"/>
    <w:rsid w:val="004745F4"/>
    <w:rsid w:val="00550421"/>
    <w:rsid w:val="00557DCA"/>
    <w:rsid w:val="00574073"/>
    <w:rsid w:val="005C4D20"/>
    <w:rsid w:val="00664D25"/>
    <w:rsid w:val="00690251"/>
    <w:rsid w:val="006A6599"/>
    <w:rsid w:val="006B6525"/>
    <w:rsid w:val="006C7203"/>
    <w:rsid w:val="00744555"/>
    <w:rsid w:val="008607E9"/>
    <w:rsid w:val="008F4026"/>
    <w:rsid w:val="00935D54"/>
    <w:rsid w:val="00955C14"/>
    <w:rsid w:val="009A38D0"/>
    <w:rsid w:val="009C47CC"/>
    <w:rsid w:val="00A0169C"/>
    <w:rsid w:val="00A123BD"/>
    <w:rsid w:val="00AB43CC"/>
    <w:rsid w:val="00AC5EF7"/>
    <w:rsid w:val="00AE121C"/>
    <w:rsid w:val="00B56368"/>
    <w:rsid w:val="00B71C7B"/>
    <w:rsid w:val="00BC5CCC"/>
    <w:rsid w:val="00CD035D"/>
    <w:rsid w:val="00D106F3"/>
    <w:rsid w:val="00D55F5C"/>
    <w:rsid w:val="00DA0240"/>
    <w:rsid w:val="00DA084D"/>
    <w:rsid w:val="00E24B35"/>
    <w:rsid w:val="00E41FF7"/>
    <w:rsid w:val="00E8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BA50"/>
  <w15:chartTrackingRefBased/>
  <w15:docId w15:val="{67794E57-E384-4888-81E5-4BBF701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rsid w:val="00380A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0A95"/>
    <w:rPr>
      <w:i/>
      <w:iCs/>
    </w:rPr>
  </w:style>
  <w:style w:type="paragraph" w:customStyle="1" w:styleId="indent-2">
    <w:name w:val="indent-2"/>
    <w:basedOn w:val="Normal"/>
    <w:rsid w:val="00380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80A95"/>
  </w:style>
  <w:style w:type="character" w:customStyle="1" w:styleId="paren">
    <w:name w:val="paren"/>
    <w:basedOn w:val="DefaultParagraphFont"/>
    <w:rsid w:val="00380A95"/>
  </w:style>
  <w:style w:type="paragraph" w:customStyle="1" w:styleId="indent-3">
    <w:name w:val="indent-3"/>
    <w:basedOn w:val="Normal"/>
    <w:rsid w:val="00380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380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A95"/>
    <w:rPr>
      <w:color w:val="0000FF"/>
      <w:u w:val="single"/>
    </w:rPr>
  </w:style>
  <w:style w:type="paragraph" w:styleId="ListParagraph">
    <w:name w:val="List Paragraph"/>
    <w:basedOn w:val="Normal"/>
    <w:uiPriority w:val="34"/>
    <w:qFormat/>
    <w:rsid w:val="000A5B4C"/>
    <w:pPr>
      <w:ind w:left="720"/>
      <w:contextualSpacing/>
    </w:pPr>
  </w:style>
  <w:style w:type="character" w:styleId="FollowedHyperlink">
    <w:name w:val="FollowedHyperlink"/>
    <w:basedOn w:val="DefaultParagraphFont"/>
    <w:uiPriority w:val="99"/>
    <w:semiHidden/>
    <w:unhideWhenUsed/>
    <w:rsid w:val="0027517B"/>
    <w:rPr>
      <w:color w:val="954F72" w:themeColor="followedHyperlink"/>
      <w:u w:val="single"/>
    </w:rPr>
  </w:style>
  <w:style w:type="character" w:styleId="CommentReference">
    <w:name w:val="annotation reference"/>
    <w:basedOn w:val="DefaultParagraphFont"/>
    <w:uiPriority w:val="99"/>
    <w:semiHidden/>
    <w:unhideWhenUsed/>
    <w:rsid w:val="009C47CC"/>
    <w:rPr>
      <w:sz w:val="16"/>
      <w:szCs w:val="16"/>
    </w:rPr>
  </w:style>
  <w:style w:type="paragraph" w:styleId="CommentText">
    <w:name w:val="annotation text"/>
    <w:basedOn w:val="Normal"/>
    <w:link w:val="CommentTextChar"/>
    <w:uiPriority w:val="99"/>
    <w:semiHidden/>
    <w:unhideWhenUsed/>
    <w:rsid w:val="009C47CC"/>
    <w:pPr>
      <w:spacing w:line="240" w:lineRule="auto"/>
    </w:pPr>
    <w:rPr>
      <w:sz w:val="20"/>
      <w:szCs w:val="20"/>
    </w:rPr>
  </w:style>
  <w:style w:type="character" w:customStyle="1" w:styleId="CommentTextChar">
    <w:name w:val="Comment Text Char"/>
    <w:basedOn w:val="DefaultParagraphFont"/>
    <w:link w:val="CommentText"/>
    <w:uiPriority w:val="99"/>
    <w:semiHidden/>
    <w:rsid w:val="009C47CC"/>
    <w:rPr>
      <w:sz w:val="20"/>
      <w:szCs w:val="20"/>
    </w:rPr>
  </w:style>
  <w:style w:type="paragraph" w:styleId="CommentSubject">
    <w:name w:val="annotation subject"/>
    <w:basedOn w:val="CommentText"/>
    <w:next w:val="CommentText"/>
    <w:link w:val="CommentSubjectChar"/>
    <w:uiPriority w:val="99"/>
    <w:semiHidden/>
    <w:unhideWhenUsed/>
    <w:rsid w:val="009C47CC"/>
    <w:rPr>
      <w:b/>
      <w:bCs/>
    </w:rPr>
  </w:style>
  <w:style w:type="character" w:customStyle="1" w:styleId="CommentSubjectChar">
    <w:name w:val="Comment Subject Char"/>
    <w:basedOn w:val="CommentTextChar"/>
    <w:link w:val="CommentSubject"/>
    <w:uiPriority w:val="99"/>
    <w:semiHidden/>
    <w:rsid w:val="009C47CC"/>
    <w:rPr>
      <w:b/>
      <w:bCs/>
      <w:sz w:val="20"/>
      <w:szCs w:val="20"/>
    </w:rPr>
  </w:style>
  <w:style w:type="paragraph" w:styleId="BalloonText">
    <w:name w:val="Balloon Text"/>
    <w:basedOn w:val="Normal"/>
    <w:link w:val="BalloonTextChar"/>
    <w:uiPriority w:val="99"/>
    <w:semiHidden/>
    <w:unhideWhenUsed/>
    <w:rsid w:val="009C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CC"/>
    <w:rPr>
      <w:rFonts w:ascii="Segoe UI" w:hAnsi="Segoe UI" w:cs="Segoe UI"/>
      <w:sz w:val="18"/>
      <w:szCs w:val="18"/>
    </w:rPr>
  </w:style>
  <w:style w:type="table" w:styleId="TableGrid">
    <w:name w:val="Table Grid"/>
    <w:basedOn w:val="TableNormal"/>
    <w:uiPriority w:val="39"/>
    <w:rsid w:val="00AB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1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6862">
      <w:bodyDiv w:val="1"/>
      <w:marLeft w:val="0"/>
      <w:marRight w:val="0"/>
      <w:marTop w:val="0"/>
      <w:marBottom w:val="0"/>
      <w:divBdr>
        <w:top w:val="none" w:sz="0" w:space="0" w:color="auto"/>
        <w:left w:val="none" w:sz="0" w:space="0" w:color="auto"/>
        <w:bottom w:val="none" w:sz="0" w:space="0" w:color="auto"/>
        <w:right w:val="none" w:sz="0" w:space="0" w:color="auto"/>
      </w:divBdr>
      <w:divsChild>
        <w:div w:id="1210415423">
          <w:marLeft w:val="0"/>
          <w:marRight w:val="0"/>
          <w:marTop w:val="0"/>
          <w:marBottom w:val="0"/>
          <w:divBdr>
            <w:top w:val="none" w:sz="0" w:space="0" w:color="auto"/>
            <w:left w:val="none" w:sz="0" w:space="0" w:color="auto"/>
            <w:bottom w:val="none" w:sz="0" w:space="0" w:color="auto"/>
            <w:right w:val="none" w:sz="0" w:space="0" w:color="auto"/>
          </w:divBdr>
          <w:divsChild>
            <w:div w:id="1509369081">
              <w:marLeft w:val="0"/>
              <w:marRight w:val="0"/>
              <w:marTop w:val="0"/>
              <w:marBottom w:val="0"/>
              <w:divBdr>
                <w:top w:val="none" w:sz="0" w:space="0" w:color="auto"/>
                <w:left w:val="none" w:sz="0" w:space="0" w:color="auto"/>
                <w:bottom w:val="none" w:sz="0" w:space="0" w:color="auto"/>
                <w:right w:val="none" w:sz="0" w:space="0" w:color="auto"/>
              </w:divBdr>
            </w:div>
            <w:div w:id="148207467">
              <w:marLeft w:val="0"/>
              <w:marRight w:val="0"/>
              <w:marTop w:val="0"/>
              <w:marBottom w:val="0"/>
              <w:divBdr>
                <w:top w:val="none" w:sz="0" w:space="0" w:color="auto"/>
                <w:left w:val="none" w:sz="0" w:space="0" w:color="auto"/>
                <w:bottom w:val="none" w:sz="0" w:space="0" w:color="auto"/>
                <w:right w:val="none" w:sz="0" w:space="0" w:color="auto"/>
              </w:divBdr>
            </w:div>
            <w:div w:id="1686249159">
              <w:marLeft w:val="0"/>
              <w:marRight w:val="0"/>
              <w:marTop w:val="0"/>
              <w:marBottom w:val="0"/>
              <w:divBdr>
                <w:top w:val="none" w:sz="0" w:space="0" w:color="auto"/>
                <w:left w:val="none" w:sz="0" w:space="0" w:color="auto"/>
                <w:bottom w:val="none" w:sz="0" w:space="0" w:color="auto"/>
                <w:right w:val="none" w:sz="0" w:space="0" w:color="auto"/>
              </w:divBdr>
              <w:divsChild>
                <w:div w:id="1838693376">
                  <w:marLeft w:val="0"/>
                  <w:marRight w:val="0"/>
                  <w:marTop w:val="0"/>
                  <w:marBottom w:val="0"/>
                  <w:divBdr>
                    <w:top w:val="none" w:sz="0" w:space="0" w:color="auto"/>
                    <w:left w:val="none" w:sz="0" w:space="0" w:color="auto"/>
                    <w:bottom w:val="none" w:sz="0" w:space="0" w:color="auto"/>
                    <w:right w:val="none" w:sz="0" w:space="0" w:color="auto"/>
                  </w:divBdr>
                </w:div>
                <w:div w:id="1559709721">
                  <w:marLeft w:val="0"/>
                  <w:marRight w:val="0"/>
                  <w:marTop w:val="0"/>
                  <w:marBottom w:val="0"/>
                  <w:divBdr>
                    <w:top w:val="none" w:sz="0" w:space="0" w:color="auto"/>
                    <w:left w:val="none" w:sz="0" w:space="0" w:color="auto"/>
                    <w:bottom w:val="none" w:sz="0" w:space="0" w:color="auto"/>
                    <w:right w:val="none" w:sz="0" w:space="0" w:color="auto"/>
                  </w:divBdr>
                </w:div>
                <w:div w:id="2102211748">
                  <w:marLeft w:val="0"/>
                  <w:marRight w:val="0"/>
                  <w:marTop w:val="0"/>
                  <w:marBottom w:val="0"/>
                  <w:divBdr>
                    <w:top w:val="none" w:sz="0" w:space="0" w:color="auto"/>
                    <w:left w:val="none" w:sz="0" w:space="0" w:color="auto"/>
                    <w:bottom w:val="none" w:sz="0" w:space="0" w:color="auto"/>
                    <w:right w:val="none" w:sz="0" w:space="0" w:color="auto"/>
                  </w:divBdr>
                </w:div>
                <w:div w:id="429399308">
                  <w:marLeft w:val="0"/>
                  <w:marRight w:val="0"/>
                  <w:marTop w:val="0"/>
                  <w:marBottom w:val="0"/>
                  <w:divBdr>
                    <w:top w:val="none" w:sz="0" w:space="0" w:color="auto"/>
                    <w:left w:val="none" w:sz="0" w:space="0" w:color="auto"/>
                    <w:bottom w:val="none" w:sz="0" w:space="0" w:color="auto"/>
                    <w:right w:val="none" w:sz="0" w:space="0" w:color="auto"/>
                  </w:divBdr>
                </w:div>
                <w:div w:id="1540701748">
                  <w:marLeft w:val="0"/>
                  <w:marRight w:val="0"/>
                  <w:marTop w:val="0"/>
                  <w:marBottom w:val="0"/>
                  <w:divBdr>
                    <w:top w:val="none" w:sz="0" w:space="0" w:color="auto"/>
                    <w:left w:val="none" w:sz="0" w:space="0" w:color="auto"/>
                    <w:bottom w:val="none" w:sz="0" w:space="0" w:color="auto"/>
                    <w:right w:val="none" w:sz="0" w:space="0" w:color="auto"/>
                  </w:divBdr>
                </w:div>
                <w:div w:id="1857108693">
                  <w:marLeft w:val="0"/>
                  <w:marRight w:val="0"/>
                  <w:marTop w:val="0"/>
                  <w:marBottom w:val="0"/>
                  <w:divBdr>
                    <w:top w:val="none" w:sz="0" w:space="0" w:color="auto"/>
                    <w:left w:val="none" w:sz="0" w:space="0" w:color="auto"/>
                    <w:bottom w:val="none" w:sz="0" w:space="0" w:color="auto"/>
                    <w:right w:val="none" w:sz="0" w:space="0" w:color="auto"/>
                  </w:divBdr>
                </w:div>
                <w:div w:id="677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8415">
          <w:marLeft w:val="0"/>
          <w:marRight w:val="0"/>
          <w:marTop w:val="0"/>
          <w:marBottom w:val="0"/>
          <w:divBdr>
            <w:top w:val="none" w:sz="0" w:space="0" w:color="auto"/>
            <w:left w:val="none" w:sz="0" w:space="0" w:color="auto"/>
            <w:bottom w:val="none" w:sz="0" w:space="0" w:color="auto"/>
            <w:right w:val="none" w:sz="0" w:space="0" w:color="auto"/>
          </w:divBdr>
        </w:div>
        <w:div w:id="1266034537">
          <w:marLeft w:val="0"/>
          <w:marRight w:val="0"/>
          <w:marTop w:val="0"/>
          <w:marBottom w:val="0"/>
          <w:divBdr>
            <w:top w:val="none" w:sz="0" w:space="0" w:color="auto"/>
            <w:left w:val="none" w:sz="0" w:space="0" w:color="auto"/>
            <w:bottom w:val="none" w:sz="0" w:space="0" w:color="auto"/>
            <w:right w:val="none" w:sz="0" w:space="0" w:color="auto"/>
          </w:divBdr>
        </w:div>
      </w:divsChild>
    </w:div>
    <w:div w:id="251473378">
      <w:bodyDiv w:val="1"/>
      <w:marLeft w:val="0"/>
      <w:marRight w:val="0"/>
      <w:marTop w:val="0"/>
      <w:marBottom w:val="0"/>
      <w:divBdr>
        <w:top w:val="none" w:sz="0" w:space="0" w:color="auto"/>
        <w:left w:val="none" w:sz="0" w:space="0" w:color="auto"/>
        <w:bottom w:val="none" w:sz="0" w:space="0" w:color="auto"/>
        <w:right w:val="none" w:sz="0" w:space="0" w:color="auto"/>
      </w:divBdr>
      <w:divsChild>
        <w:div w:id="290206625">
          <w:marLeft w:val="0"/>
          <w:marRight w:val="0"/>
          <w:marTop w:val="0"/>
          <w:marBottom w:val="0"/>
          <w:divBdr>
            <w:top w:val="none" w:sz="0" w:space="0" w:color="auto"/>
            <w:left w:val="none" w:sz="0" w:space="0" w:color="auto"/>
            <w:bottom w:val="none" w:sz="0" w:space="0" w:color="auto"/>
            <w:right w:val="none" w:sz="0" w:space="0" w:color="auto"/>
          </w:divBdr>
          <w:divsChild>
            <w:div w:id="1635867559">
              <w:marLeft w:val="0"/>
              <w:marRight w:val="0"/>
              <w:marTop w:val="0"/>
              <w:marBottom w:val="0"/>
              <w:divBdr>
                <w:top w:val="none" w:sz="0" w:space="0" w:color="auto"/>
                <w:left w:val="none" w:sz="0" w:space="0" w:color="auto"/>
                <w:bottom w:val="none" w:sz="0" w:space="0" w:color="auto"/>
                <w:right w:val="none" w:sz="0" w:space="0" w:color="auto"/>
              </w:divBdr>
            </w:div>
            <w:div w:id="1181164235">
              <w:marLeft w:val="0"/>
              <w:marRight w:val="0"/>
              <w:marTop w:val="0"/>
              <w:marBottom w:val="0"/>
              <w:divBdr>
                <w:top w:val="none" w:sz="0" w:space="0" w:color="auto"/>
                <w:left w:val="none" w:sz="0" w:space="0" w:color="auto"/>
                <w:bottom w:val="none" w:sz="0" w:space="0" w:color="auto"/>
                <w:right w:val="none" w:sz="0" w:space="0" w:color="auto"/>
              </w:divBdr>
            </w:div>
            <w:div w:id="1195120582">
              <w:marLeft w:val="0"/>
              <w:marRight w:val="0"/>
              <w:marTop w:val="0"/>
              <w:marBottom w:val="0"/>
              <w:divBdr>
                <w:top w:val="none" w:sz="0" w:space="0" w:color="auto"/>
                <w:left w:val="none" w:sz="0" w:space="0" w:color="auto"/>
                <w:bottom w:val="none" w:sz="0" w:space="0" w:color="auto"/>
                <w:right w:val="none" w:sz="0" w:space="0" w:color="auto"/>
              </w:divBdr>
            </w:div>
          </w:divsChild>
        </w:div>
        <w:div w:id="1894350272">
          <w:marLeft w:val="0"/>
          <w:marRight w:val="0"/>
          <w:marTop w:val="0"/>
          <w:marBottom w:val="0"/>
          <w:divBdr>
            <w:top w:val="none" w:sz="0" w:space="0" w:color="auto"/>
            <w:left w:val="none" w:sz="0" w:space="0" w:color="auto"/>
            <w:bottom w:val="none" w:sz="0" w:space="0" w:color="auto"/>
            <w:right w:val="none" w:sz="0" w:space="0" w:color="auto"/>
          </w:divBdr>
          <w:divsChild>
            <w:div w:id="1184124871">
              <w:marLeft w:val="0"/>
              <w:marRight w:val="0"/>
              <w:marTop w:val="0"/>
              <w:marBottom w:val="0"/>
              <w:divBdr>
                <w:top w:val="none" w:sz="0" w:space="0" w:color="auto"/>
                <w:left w:val="none" w:sz="0" w:space="0" w:color="auto"/>
                <w:bottom w:val="none" w:sz="0" w:space="0" w:color="auto"/>
                <w:right w:val="none" w:sz="0" w:space="0" w:color="auto"/>
              </w:divBdr>
            </w:div>
            <w:div w:id="340359082">
              <w:marLeft w:val="0"/>
              <w:marRight w:val="0"/>
              <w:marTop w:val="0"/>
              <w:marBottom w:val="0"/>
              <w:divBdr>
                <w:top w:val="none" w:sz="0" w:space="0" w:color="auto"/>
                <w:left w:val="none" w:sz="0" w:space="0" w:color="auto"/>
                <w:bottom w:val="none" w:sz="0" w:space="0" w:color="auto"/>
                <w:right w:val="none" w:sz="0" w:space="0" w:color="auto"/>
              </w:divBdr>
            </w:div>
            <w:div w:id="1713118747">
              <w:marLeft w:val="0"/>
              <w:marRight w:val="0"/>
              <w:marTop w:val="0"/>
              <w:marBottom w:val="0"/>
              <w:divBdr>
                <w:top w:val="none" w:sz="0" w:space="0" w:color="auto"/>
                <w:left w:val="none" w:sz="0" w:space="0" w:color="auto"/>
                <w:bottom w:val="none" w:sz="0" w:space="0" w:color="auto"/>
                <w:right w:val="none" w:sz="0" w:space="0" w:color="auto"/>
              </w:divBdr>
            </w:div>
          </w:divsChild>
        </w:div>
        <w:div w:id="1806582412">
          <w:marLeft w:val="0"/>
          <w:marRight w:val="0"/>
          <w:marTop w:val="0"/>
          <w:marBottom w:val="0"/>
          <w:divBdr>
            <w:top w:val="none" w:sz="0" w:space="0" w:color="auto"/>
            <w:left w:val="none" w:sz="0" w:space="0" w:color="auto"/>
            <w:bottom w:val="none" w:sz="0" w:space="0" w:color="auto"/>
            <w:right w:val="none" w:sz="0" w:space="0" w:color="auto"/>
          </w:divBdr>
          <w:divsChild>
            <w:div w:id="1233350243">
              <w:marLeft w:val="0"/>
              <w:marRight w:val="0"/>
              <w:marTop w:val="0"/>
              <w:marBottom w:val="0"/>
              <w:divBdr>
                <w:top w:val="none" w:sz="0" w:space="0" w:color="auto"/>
                <w:left w:val="none" w:sz="0" w:space="0" w:color="auto"/>
                <w:bottom w:val="none" w:sz="0" w:space="0" w:color="auto"/>
                <w:right w:val="none" w:sz="0" w:space="0" w:color="auto"/>
              </w:divBdr>
            </w:div>
            <w:div w:id="1775634888">
              <w:marLeft w:val="0"/>
              <w:marRight w:val="0"/>
              <w:marTop w:val="0"/>
              <w:marBottom w:val="0"/>
              <w:divBdr>
                <w:top w:val="none" w:sz="0" w:space="0" w:color="auto"/>
                <w:left w:val="none" w:sz="0" w:space="0" w:color="auto"/>
                <w:bottom w:val="none" w:sz="0" w:space="0" w:color="auto"/>
                <w:right w:val="none" w:sz="0" w:space="0" w:color="auto"/>
              </w:divBdr>
            </w:div>
            <w:div w:id="1359699619">
              <w:marLeft w:val="0"/>
              <w:marRight w:val="0"/>
              <w:marTop w:val="0"/>
              <w:marBottom w:val="0"/>
              <w:divBdr>
                <w:top w:val="none" w:sz="0" w:space="0" w:color="auto"/>
                <w:left w:val="none" w:sz="0" w:space="0" w:color="auto"/>
                <w:bottom w:val="none" w:sz="0" w:space="0" w:color="auto"/>
                <w:right w:val="none" w:sz="0" w:space="0" w:color="auto"/>
              </w:divBdr>
            </w:div>
            <w:div w:id="1068725369">
              <w:marLeft w:val="0"/>
              <w:marRight w:val="0"/>
              <w:marTop w:val="0"/>
              <w:marBottom w:val="0"/>
              <w:divBdr>
                <w:top w:val="none" w:sz="0" w:space="0" w:color="auto"/>
                <w:left w:val="none" w:sz="0" w:space="0" w:color="auto"/>
                <w:bottom w:val="none" w:sz="0" w:space="0" w:color="auto"/>
                <w:right w:val="none" w:sz="0" w:space="0" w:color="auto"/>
              </w:divBdr>
            </w:div>
          </w:divsChild>
        </w:div>
        <w:div w:id="1734500572">
          <w:marLeft w:val="0"/>
          <w:marRight w:val="0"/>
          <w:marTop w:val="0"/>
          <w:marBottom w:val="0"/>
          <w:divBdr>
            <w:top w:val="none" w:sz="0" w:space="0" w:color="auto"/>
            <w:left w:val="none" w:sz="0" w:space="0" w:color="auto"/>
            <w:bottom w:val="none" w:sz="0" w:space="0" w:color="auto"/>
            <w:right w:val="none" w:sz="0" w:space="0" w:color="auto"/>
          </w:divBdr>
          <w:divsChild>
            <w:div w:id="216668457">
              <w:marLeft w:val="0"/>
              <w:marRight w:val="0"/>
              <w:marTop w:val="0"/>
              <w:marBottom w:val="0"/>
              <w:divBdr>
                <w:top w:val="none" w:sz="0" w:space="0" w:color="auto"/>
                <w:left w:val="none" w:sz="0" w:space="0" w:color="auto"/>
                <w:bottom w:val="none" w:sz="0" w:space="0" w:color="auto"/>
                <w:right w:val="none" w:sz="0" w:space="0" w:color="auto"/>
              </w:divBdr>
            </w:div>
            <w:div w:id="1542129772">
              <w:marLeft w:val="0"/>
              <w:marRight w:val="0"/>
              <w:marTop w:val="0"/>
              <w:marBottom w:val="0"/>
              <w:divBdr>
                <w:top w:val="none" w:sz="0" w:space="0" w:color="auto"/>
                <w:left w:val="none" w:sz="0" w:space="0" w:color="auto"/>
                <w:bottom w:val="none" w:sz="0" w:space="0" w:color="auto"/>
                <w:right w:val="none" w:sz="0" w:space="0" w:color="auto"/>
              </w:divBdr>
            </w:div>
            <w:div w:id="3330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5306">
      <w:bodyDiv w:val="1"/>
      <w:marLeft w:val="0"/>
      <w:marRight w:val="0"/>
      <w:marTop w:val="0"/>
      <w:marBottom w:val="0"/>
      <w:divBdr>
        <w:top w:val="none" w:sz="0" w:space="0" w:color="auto"/>
        <w:left w:val="none" w:sz="0" w:space="0" w:color="auto"/>
        <w:bottom w:val="none" w:sz="0" w:space="0" w:color="auto"/>
        <w:right w:val="none" w:sz="0" w:space="0" w:color="auto"/>
      </w:divBdr>
      <w:divsChild>
        <w:div w:id="1388993144">
          <w:marLeft w:val="0"/>
          <w:marRight w:val="0"/>
          <w:marTop w:val="0"/>
          <w:marBottom w:val="0"/>
          <w:divBdr>
            <w:top w:val="none" w:sz="0" w:space="0" w:color="auto"/>
            <w:left w:val="none" w:sz="0" w:space="0" w:color="auto"/>
            <w:bottom w:val="none" w:sz="0" w:space="0" w:color="auto"/>
            <w:right w:val="none" w:sz="0" w:space="0" w:color="auto"/>
          </w:divBdr>
          <w:divsChild>
            <w:div w:id="269431929">
              <w:marLeft w:val="0"/>
              <w:marRight w:val="0"/>
              <w:marTop w:val="0"/>
              <w:marBottom w:val="0"/>
              <w:divBdr>
                <w:top w:val="none" w:sz="0" w:space="0" w:color="auto"/>
                <w:left w:val="none" w:sz="0" w:space="0" w:color="auto"/>
                <w:bottom w:val="none" w:sz="0" w:space="0" w:color="auto"/>
                <w:right w:val="none" w:sz="0" w:space="0" w:color="auto"/>
              </w:divBdr>
            </w:div>
            <w:div w:id="313342426">
              <w:marLeft w:val="0"/>
              <w:marRight w:val="0"/>
              <w:marTop w:val="0"/>
              <w:marBottom w:val="0"/>
              <w:divBdr>
                <w:top w:val="none" w:sz="0" w:space="0" w:color="auto"/>
                <w:left w:val="none" w:sz="0" w:space="0" w:color="auto"/>
                <w:bottom w:val="none" w:sz="0" w:space="0" w:color="auto"/>
                <w:right w:val="none" w:sz="0" w:space="0" w:color="auto"/>
              </w:divBdr>
            </w:div>
            <w:div w:id="156502456">
              <w:marLeft w:val="0"/>
              <w:marRight w:val="0"/>
              <w:marTop w:val="0"/>
              <w:marBottom w:val="0"/>
              <w:divBdr>
                <w:top w:val="none" w:sz="0" w:space="0" w:color="auto"/>
                <w:left w:val="none" w:sz="0" w:space="0" w:color="auto"/>
                <w:bottom w:val="none" w:sz="0" w:space="0" w:color="auto"/>
                <w:right w:val="none" w:sz="0" w:space="0" w:color="auto"/>
              </w:divBdr>
            </w:div>
          </w:divsChild>
        </w:div>
        <w:div w:id="1178038814">
          <w:marLeft w:val="0"/>
          <w:marRight w:val="0"/>
          <w:marTop w:val="0"/>
          <w:marBottom w:val="0"/>
          <w:divBdr>
            <w:top w:val="none" w:sz="0" w:space="0" w:color="auto"/>
            <w:left w:val="none" w:sz="0" w:space="0" w:color="auto"/>
            <w:bottom w:val="none" w:sz="0" w:space="0" w:color="auto"/>
            <w:right w:val="none" w:sz="0" w:space="0" w:color="auto"/>
          </w:divBdr>
          <w:divsChild>
            <w:div w:id="1078596964">
              <w:marLeft w:val="0"/>
              <w:marRight w:val="0"/>
              <w:marTop w:val="0"/>
              <w:marBottom w:val="0"/>
              <w:divBdr>
                <w:top w:val="none" w:sz="0" w:space="0" w:color="auto"/>
                <w:left w:val="none" w:sz="0" w:space="0" w:color="auto"/>
                <w:bottom w:val="none" w:sz="0" w:space="0" w:color="auto"/>
                <w:right w:val="none" w:sz="0" w:space="0" w:color="auto"/>
              </w:divBdr>
            </w:div>
            <w:div w:id="975838135">
              <w:marLeft w:val="0"/>
              <w:marRight w:val="0"/>
              <w:marTop w:val="0"/>
              <w:marBottom w:val="0"/>
              <w:divBdr>
                <w:top w:val="none" w:sz="0" w:space="0" w:color="auto"/>
                <w:left w:val="none" w:sz="0" w:space="0" w:color="auto"/>
                <w:bottom w:val="none" w:sz="0" w:space="0" w:color="auto"/>
                <w:right w:val="none" w:sz="0" w:space="0" w:color="auto"/>
              </w:divBdr>
            </w:div>
            <w:div w:id="1525747888">
              <w:marLeft w:val="0"/>
              <w:marRight w:val="0"/>
              <w:marTop w:val="0"/>
              <w:marBottom w:val="0"/>
              <w:divBdr>
                <w:top w:val="none" w:sz="0" w:space="0" w:color="auto"/>
                <w:left w:val="none" w:sz="0" w:space="0" w:color="auto"/>
                <w:bottom w:val="none" w:sz="0" w:space="0" w:color="auto"/>
                <w:right w:val="none" w:sz="0" w:space="0" w:color="auto"/>
              </w:divBdr>
            </w:div>
          </w:divsChild>
        </w:div>
        <w:div w:id="1677489305">
          <w:marLeft w:val="0"/>
          <w:marRight w:val="0"/>
          <w:marTop w:val="0"/>
          <w:marBottom w:val="0"/>
          <w:divBdr>
            <w:top w:val="none" w:sz="0" w:space="0" w:color="auto"/>
            <w:left w:val="none" w:sz="0" w:space="0" w:color="auto"/>
            <w:bottom w:val="none" w:sz="0" w:space="0" w:color="auto"/>
            <w:right w:val="none" w:sz="0" w:space="0" w:color="auto"/>
          </w:divBdr>
          <w:divsChild>
            <w:div w:id="204997180">
              <w:marLeft w:val="0"/>
              <w:marRight w:val="0"/>
              <w:marTop w:val="0"/>
              <w:marBottom w:val="0"/>
              <w:divBdr>
                <w:top w:val="none" w:sz="0" w:space="0" w:color="auto"/>
                <w:left w:val="none" w:sz="0" w:space="0" w:color="auto"/>
                <w:bottom w:val="none" w:sz="0" w:space="0" w:color="auto"/>
                <w:right w:val="none" w:sz="0" w:space="0" w:color="auto"/>
              </w:divBdr>
            </w:div>
            <w:div w:id="784347220">
              <w:marLeft w:val="0"/>
              <w:marRight w:val="0"/>
              <w:marTop w:val="0"/>
              <w:marBottom w:val="0"/>
              <w:divBdr>
                <w:top w:val="none" w:sz="0" w:space="0" w:color="auto"/>
                <w:left w:val="none" w:sz="0" w:space="0" w:color="auto"/>
                <w:bottom w:val="none" w:sz="0" w:space="0" w:color="auto"/>
                <w:right w:val="none" w:sz="0" w:space="0" w:color="auto"/>
              </w:divBdr>
            </w:div>
            <w:div w:id="570894840">
              <w:marLeft w:val="0"/>
              <w:marRight w:val="0"/>
              <w:marTop w:val="0"/>
              <w:marBottom w:val="0"/>
              <w:divBdr>
                <w:top w:val="none" w:sz="0" w:space="0" w:color="auto"/>
                <w:left w:val="none" w:sz="0" w:space="0" w:color="auto"/>
                <w:bottom w:val="none" w:sz="0" w:space="0" w:color="auto"/>
                <w:right w:val="none" w:sz="0" w:space="0" w:color="auto"/>
              </w:divBdr>
            </w:div>
            <w:div w:id="789980495">
              <w:marLeft w:val="0"/>
              <w:marRight w:val="0"/>
              <w:marTop w:val="0"/>
              <w:marBottom w:val="0"/>
              <w:divBdr>
                <w:top w:val="none" w:sz="0" w:space="0" w:color="auto"/>
                <w:left w:val="none" w:sz="0" w:space="0" w:color="auto"/>
                <w:bottom w:val="none" w:sz="0" w:space="0" w:color="auto"/>
                <w:right w:val="none" w:sz="0" w:space="0" w:color="auto"/>
              </w:divBdr>
            </w:div>
          </w:divsChild>
        </w:div>
        <w:div w:id="1606501953">
          <w:marLeft w:val="0"/>
          <w:marRight w:val="0"/>
          <w:marTop w:val="0"/>
          <w:marBottom w:val="0"/>
          <w:divBdr>
            <w:top w:val="none" w:sz="0" w:space="0" w:color="auto"/>
            <w:left w:val="none" w:sz="0" w:space="0" w:color="auto"/>
            <w:bottom w:val="none" w:sz="0" w:space="0" w:color="auto"/>
            <w:right w:val="none" w:sz="0" w:space="0" w:color="auto"/>
          </w:divBdr>
          <w:divsChild>
            <w:div w:id="944190023">
              <w:marLeft w:val="0"/>
              <w:marRight w:val="0"/>
              <w:marTop w:val="0"/>
              <w:marBottom w:val="0"/>
              <w:divBdr>
                <w:top w:val="none" w:sz="0" w:space="0" w:color="auto"/>
                <w:left w:val="none" w:sz="0" w:space="0" w:color="auto"/>
                <w:bottom w:val="none" w:sz="0" w:space="0" w:color="auto"/>
                <w:right w:val="none" w:sz="0" w:space="0" w:color="auto"/>
              </w:divBdr>
            </w:div>
            <w:div w:id="1396581955">
              <w:marLeft w:val="0"/>
              <w:marRight w:val="0"/>
              <w:marTop w:val="0"/>
              <w:marBottom w:val="0"/>
              <w:divBdr>
                <w:top w:val="none" w:sz="0" w:space="0" w:color="auto"/>
                <w:left w:val="none" w:sz="0" w:space="0" w:color="auto"/>
                <w:bottom w:val="none" w:sz="0" w:space="0" w:color="auto"/>
                <w:right w:val="none" w:sz="0" w:space="0" w:color="auto"/>
              </w:divBdr>
            </w:div>
            <w:div w:id="16696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link/uscode/42/9832" TargetMode="External"/><Relationship Id="rId13" Type="http://schemas.openxmlformats.org/officeDocument/2006/relationships/hyperlink" Target="https://www.govinfo.gov/link/uscode/42/11434a" TargetMode="External"/><Relationship Id="rId18" Type="http://schemas.openxmlformats.org/officeDocument/2006/relationships/hyperlink" Target="https://www.govinfo.gov/link/uscode/7/20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info.gov/link/uscode/42/5732a" TargetMode="External"/><Relationship Id="rId12" Type="http://schemas.openxmlformats.org/officeDocument/2006/relationships/hyperlink" Target="https://www.govinfo.gov/link/uscode/42/1786" TargetMode="External"/><Relationship Id="rId17" Type="http://schemas.openxmlformats.org/officeDocument/2006/relationships/hyperlink" Target="https://www.govinfo.gov/link/uscode/42/254b" TargetMode="External"/><Relationship Id="rId2" Type="http://schemas.openxmlformats.org/officeDocument/2006/relationships/styles" Target="styles.xml"/><Relationship Id="rId16" Type="http://schemas.openxmlformats.org/officeDocument/2006/relationships/hyperlink" Target="https://www.govinfo.gov/link/uscode/42/14043e-2" TargetMode="External"/><Relationship Id="rId20" Type="http://schemas.openxmlformats.org/officeDocument/2006/relationships/hyperlink" Target="https://www.govinfo.gov/link/uscode/42/11434a" TargetMode="External"/><Relationship Id="rId1" Type="http://schemas.openxmlformats.org/officeDocument/2006/relationships/numbering" Target="numbering.xml"/><Relationship Id="rId6" Type="http://schemas.openxmlformats.org/officeDocument/2006/relationships/hyperlink" Target="https://www.ecfr.gov/current/title-24/subtitle-A/part-91/subpart-A/section-91.5" TargetMode="External"/><Relationship Id="rId11" Type="http://schemas.openxmlformats.org/officeDocument/2006/relationships/hyperlink" Target="https://www.govinfo.gov/link/uscode/7/2012" TargetMode="External"/><Relationship Id="rId5" Type="http://schemas.openxmlformats.org/officeDocument/2006/relationships/hyperlink" Target="http://www.evidenceonhomelessness.com/wp-content/uploads/2019/02/Homelessness_Prevention_Literature_Synthesis.pdf" TargetMode="External"/><Relationship Id="rId15" Type="http://schemas.openxmlformats.org/officeDocument/2006/relationships/hyperlink" Target="https://www.govinfo.gov/link/uscode/42/9832" TargetMode="External"/><Relationship Id="rId10" Type="http://schemas.openxmlformats.org/officeDocument/2006/relationships/hyperlink" Target="https://www.govinfo.gov/link/uscode/42/254b" TargetMode="External"/><Relationship Id="rId19" Type="http://schemas.openxmlformats.org/officeDocument/2006/relationships/hyperlink" Target="https://www.govinfo.gov/link/uscode/42/1786" TargetMode="External"/><Relationship Id="rId4" Type="http://schemas.openxmlformats.org/officeDocument/2006/relationships/webSettings" Target="webSettings.xml"/><Relationship Id="rId9" Type="http://schemas.openxmlformats.org/officeDocument/2006/relationships/hyperlink" Target="https://www.govinfo.gov/link/uscode/42/14043e-2" TargetMode="External"/><Relationship Id="rId14" Type="http://schemas.openxmlformats.org/officeDocument/2006/relationships/hyperlink" Target="https://www.govinfo.gov/link/uscode/42/573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Galicia, Chaya</dc:creator>
  <cp:keywords/>
  <dc:description/>
  <cp:lastModifiedBy>Chelsea Burke</cp:lastModifiedBy>
  <cp:revision>3</cp:revision>
  <dcterms:created xsi:type="dcterms:W3CDTF">2022-08-03T17:52:00Z</dcterms:created>
  <dcterms:modified xsi:type="dcterms:W3CDTF">2022-08-03T20:48:00Z</dcterms:modified>
</cp:coreProperties>
</file>